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430/2022 vom 23. August 2022</w:t>
      </w:r>
    </w:p>
    <w:p>
      <w:r>
        <w:t>Bundesgericht, 2022-08-23, DE</w:t>
      </w:r>
    </w:p>
    <w:p>
      <w:r>
        <w:rPr>
          <w:b/>
        </w:rPr>
        <w:t xml:space="preserve">Quelle: </w:t>
      </w:r>
      <w:r>
        <w:t>https://mcp.opencaselaw.ch/entscheid/bger_1B_430_2022</w:t>
      </w:r>
    </w:p>
    <w:p>
      <w:r>
        <w:t>FR: TF 1B 430/2022 du 23 août 2022</w:t>
      </w:r>
    </w:p>
    <w:p>
      <w:r>
        <w:t>IT: TF 1B 430/2022 del 23 agosto 2022</w:t>
      </w:r>
    </w:p>
    <w:p>
      <w:pPr>
        <w:pStyle w:val="Heading2"/>
      </w:pPr>
      <w:r>
        <w:t>Regeste</w:t>
      </w:r>
    </w:p>
    <w:p>
      <w:r>
        <w:t>Strafverfahren; Auskunft und Herausgabe | Strafprozess</w:t>
      </w:r>
    </w:p>
    <w:p>
      <w:pPr>
        <w:pStyle w:val="Heading2"/>
      </w:pPr>
      <w:r>
        <w:t>Erwägungen</w:t>
      </w:r>
    </w:p>
    <w:p>
      <w:r>
        <w:rPr>
          <w:b/>
        </w:rPr>
        <w:t>E. 1</w:t>
      </w:r>
    </w:p>
    <w:p>
      <w:r>
        <w:t>Die Staatsanwaltschaft des Kantons Schwyz führt gegen A.________eine Strafuntersuchung wegen Betrugs, Urkundenfälschung, evtl. Widerhandlung gegen die COVID-19-Solidarbürgschaftsverordnung. Mit Verfügung vom 22. November 2021 verpflichtete die Staatsanwaltschaft die Raiffeisen Schweiz Genossenschaft, Konto- und Depotauszüge dreier Konti lautend auf die A.________ GmbH sowie namentlich genannte Detailbelege zuzustellen und über Verfügungen anderer Strafverfolgungsbehörden zu informieren, unter Auferlegung eines Mitteilungsverbots einstweilen bis zum 22. Februar 2022. Mit einer weiteren Verfügung vom 26. November 2021 verpflichtete die Staatsanwaltschaft die Raiffeisen Schweiz Genossenschaft, Auskunft zum Beschuldigten und der A.________ GmbH zu erteilen und Unterlagen herauszugeben. Sie liess sämtliche Vermögenswerte von A.________ und der A.________ GmbH sperren und beschlagnahmen. Gegen beide Verfügungen erhob A.________ am 3. Dezember 2021 Beschwerde. Das Kantonsgericht Schwyz trat mit Beschluss vom 4. Juli 2022 auf die Beschwerde gegen die Verfügung vom 22. November 2021 nicht ein und wies die Beschwerde gegen die Verfügung vom 26. November 2021 ab, soweit es darauf eintrat.</w:t>
      </w:r>
    </w:p>
    <w:p>
      <w:r>
        <w:rPr>
          <w:b/>
        </w:rPr>
        <w:t>E. 2</w:t>
      </w:r>
    </w:p>
    <w:p>
      <w:r>
        <w:t>A.________erhob dagegen mit Eingabe vom 15. August 2022 Beschwerde in Strafsachen. Das Bundesgericht verzichtet auf die Einholung von Vernehmlassungen.</w:t>
      </w:r>
    </w:p>
    <w:p>
      <w:r>
        <w:rPr>
          <w:b/>
        </w:rPr>
        <w:t>E. 3</w:t>
      </w:r>
    </w:p>
    <w:p>
      <w:r>
        <w:t>Der Beschwerdeführer beantragt einen Nachweis der "hoheitlichen Befugnisse aller" an diesem Verfahren mitwirkenden Gerichtspersonen. Die Namen der Bundesrichterinnen und -richter sowie der Gerichtsschreibenden sind öffentlich und können wie die Zusammensetzung der Abteilungen dem Staatskalender bzw. der Internetseite des Bundesgerichts entnommen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des Kantonsgerichts nicht auseinander. Mit seinen nicht nachvollziehbaren Ausführungen vermag er nicht aufzuzeigen,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5</w:t>
      </w:r>
    </w:p>
    <w:p>
      <w:r>
        <w:t>Bei diesem Verfahrensausgang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