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1B_430/2020 vom 18. September 2020</w:t>
      </w:r>
    </w:p>
    <w:p>
      <w:r>
        <w:t>Bundesgericht, 2020-09-18, FR</w:t>
      </w:r>
    </w:p>
    <w:p>
      <w:r>
        <w:rPr>
          <w:b/>
        </w:rPr>
        <w:t xml:space="preserve">Quelle: </w:t>
      </w:r>
      <w:r>
        <w:t>https://mcp.opencaselaw.ch/entscheid/bger_1B_430_2020</w:t>
      </w:r>
    </w:p>
    <w:p>
      <w:r>
        <w:t>FR: TF 1B_430/2020 du 18 septembre 2020</w:t>
      </w:r>
    </w:p>
    <w:p>
      <w:r>
        <w:t>IT: TF 1B_430/2020 del 18 settembre 2020</w:t>
      </w:r>
    </w:p>
    <w:p>
      <w:pPr>
        <w:pStyle w:val="Heading2"/>
      </w:pPr>
      <w:r>
        <w:t>Erwägungen</w:t>
      </w:r>
    </w:p>
    <w:p>
      <w:r>
        <w:rPr>
          <w:b/>
        </w:rPr>
        <w:t>E. 1</w:t>
      </w:r>
    </w:p>
    <w:p>
      <w:r>
        <w:t>L'arrêt attaqué - qui déclare irrecevable le recours formé notamment contre la disjonction de la cause du recourant de celles relatives aux trois autres prévenus - a été rendu par une autorité statuant en tant que dernière instance cantonale ( art. 80 LTF ) dans le cadre d'une procédure pénale. Le recours en matière pénale est donc en principe ouvert ( art. 78 ss LTF ). Le recourant dispose d'un intérêt juridique à l'annulation ou la modification de la décision attaquée qui ne se prononce pas sur les griefs soulevés au fond dans son recours ( art. 81 al. 1 LTF ). De plus, le recours a été déposé en temps utile (art. 46 al. 1 let. b et 100 al. 1 CPP).</w:t>
      </w:r>
    </w:p>
    <w:p>
      <w:r>
        <w:t>Le prononcé entrepris ne mettant pas un terme à la procédure pénale, il revêt donc un caractère incident et le recours n'est en principe recevable qu'en présence d'un préjudice irréparable ( art. 93 al. 1 let. a LTF ). Cela étant, lorsque le recours est formé contre une décision d'irrecevabilité, cette situation équivaut, sous l'angle de la recevabilité, à un déni de justice formel. Le recours sur cette question particulière est donc ouvert indépendamment d'un préjudice irréparable ( ATF 143 I 344 consid. 1.2 p. 346). Seule la question de la recevabilité du recours cantonal peut cependant être portée devant le Tribunal fédéral, ce qui exclut l'examen des griefs développés en lien avec le fond.</w:t>
      </w:r>
    </w:p>
    <w:p>
      <w:r>
        <w:t>Il en découle notamment que la conclusion principale tendant au renvoi de la cause à l'autorité précédente est recevable ( art. 107 al. 2 LTF ) et qu'il n'y a pas lieu d'examiner les arguments soulevés au fond (cf. ad D p. 5 ss du recours).</w:t>
      </w:r>
    </w:p>
    <w:p>
      <w:r>
        <w:rPr>
          <w:b/>
        </w:rPr>
        <w:t>E. 2.1</w:t>
      </w:r>
    </w:p>
    <w:p>
      <w:r>
        <w:t>Invoquant une violation de son droit d'être entendu et une constatation manifestement inexacte des faits, le recourant reproche à l'autorité précédente d'avoir considéré que son mandataire ne disposait d'aucun pouvoir pour le représenter dans le cadre du recours intenté contre la décision incidente du Tribunal criminel. Le recourant soutient à cet égard qu'il n'est jamais demandé à un conseil d'office de produire une procuration pour déposer un recours cantonal; son avocat n'avait de plus pas été interpellé à cet égard, cadre dans lequel il aurait pu produire les échanges intervenus avec son mandant préalablement au dépôt de son recours (cf. les pièces 4 et 5 de son bordereau). Indépendamment de l'obtention de son accord, le recourant prétend aussi que son défenseur doit pouvoir prendre les mesures nécessaires afin de sauvegarder ses droits, ce qui imposait en l'espèce de recourir contre la décision de disjonction et de refus de report des débats.</w:t>
      </w:r>
    </w:p>
    <w:p>
      <w:r>
        <w:rPr>
          <w:b/>
        </w:rPr>
        <w:t>E. 2.2</w:t>
      </w:r>
    </w:p>
    <w:p>
      <w:r>
        <w:t>La cour cantonale a en substance considéré que, lorsque la procédure par défaut était engagée, "l' art. 367 al. 1 CPP n'instaur[ait] pas de fait un débat contradictoire"; il en découlait que l'avocat du recourant, prévenu défaillant, était uniquement habilité à plaider en faveur de celui-ci, mais non pas à le représenter dans une éventuelle procédure incidente (cf. consid. 2.1 et 2.2 p. 4 s. de l'arrêt attaqué).</w:t>
      </w:r>
    </w:p>
    <w:p>
      <w:r>
        <w:t>Ce raisonnement - peu importe de savoir s'il est correct ou pas - part en tout état de cause de la prémisse erronée que la procédure par défaut a été engagée vis-à-vis du recourant. Tel n'est pas le cas, puisque le Tribunal criminel a considéré à son égard que l' art. 366 al. 1 CPP s'appliquait. Selon cette disposition, si le prévenu dûment cité ne comparaît pas aux débats de première instance, le tribunal fixe de nouveaux débats et cite à nouveau le prévenu ou le fait amener; il recueille les preuves dont l'administration ne souffre aucun délai. A ce stade, une procédure par défaut proprement dite - dont l'exécution est certes mise en oeuvre en application notamment de l' art. 367 CPP - n'entre donc pas encore en considération à l'égard du recourant. Les pouvoirs de représentation de son défenseur ne sauraient donc être limités - dans la mesure au demeurant où tel pourrait être le cas - par l' art. 367 al. 1 CPP , ce qui permet d'écarter la motivation retenue par l'autorité précédente à cet égard.</w:t>
      </w:r>
    </w:p>
    <w:p>
      <w:r>
        <w:rPr>
          <w:b/>
        </w:rPr>
        <w:t>E. 2.3</w:t>
      </w:r>
    </w:p>
    <w:p>
      <w:r>
        <w:t>La Chambre des recours pénale a également refusé d'indemniser l'avocat du recourant, dès lors que celui-ci avait expressément relevé, dès l'ouverture des débats, qu'il "n'[était] pas en mesure de [...] représenter" son mandant; cela démontrait, du propre aveu de l'avocat, son absence de pouvoirs de représentation (cf. consid 3 p. 5).</w:t>
      </w:r>
    </w:p>
    <w:p>
      <w:r>
        <w:t>Cette appréciation ne saurait toutefois être suivie. Indépendamment du fait de se prononcer sur la question de l'indemnité éventuellement due à l'avocat du recourant dans le cadre de la procédure de recours, il est en effet incontesté que celui-ci agit en l'occurrence en tant que défenseur d'office dans un cas de défense obligatoire (cf. l'ordonnance du 28 janvier 2016). En l'absence de décision formelle révoquant ce mandat (cf. art. 134 CPP ;  HARARI/JAKOB/SANTAMARIA, in Commentaire romand, Code de procédure pénale, 2e éd. 2019, n° 2 ad art.          134 CPP), la remarque précitée de l'avocat ne saurait donc en principe suffire à retenir l'absence de pouvoirs de représentation pour intenter un recours. Dans la mesure où l'autorité cantonale entendait pourtant aboutir à une telle conclusion, elle devait, sauf à violer le droit d'être entendu, interpeller préalablement le recourant et/ou son mandataire sur cette problématique ( ATF 145 IV 99 consid. 3.1 p. 109 s.). Cela semble d'autant plus s'imposer en l'occurrence que la Chambre des recours pénale rappelle dans ses considérants la pratique cantonale à cet égard, à savoir que le mandat d'office ne prend fin qu'à l'épuisement des instances cantonales; l'avocat du recourant ne pouvait dès lors se douter de la nécessité d'établir dans le cas d'espèce ses pouvoirs de représentation dans son recours cantonal. En outre, eu égard aux pièces produites devant le Tribunal fédéral - qui sont dès lors recevables puisqu'elles découlent de la décision attaquée ( art. 99 al. 1 LTF ; ATF 143 V 19 consid. 1.2 p. 22 s.; 139 III 120 consid. 3.1.2 p. 123) -, il semble acquis que l'avocat a obtenu le consentement de son client le 14 juillet 2020 à 14h31, soit préalablement à l'envoi par e-fax du recours cantonal à 15h02.</w:t>
      </w:r>
    </w:p>
    <w:p>
      <w:r>
        <w:rPr>
          <w:b/>
        </w:rPr>
        <w:t>E. 2.4</w:t>
      </w:r>
    </w:p>
    <w:p>
      <w:r>
        <w:t>En se référant à une disposition erronée et en s'écartant de sa pratique habituelle sans interpeller préalablement le recourant, respectivement son mandataire, la cour cantonale viole le droit fédéral et le droit d'être entendu en considérant que le mandataire d'office du recourant ne disposait pas des pouvoirs de le représenter dans la procédure cantonale de recours contre la décision incidente rendue par le Tribunal criminel.</w:t>
      </w:r>
    </w:p>
    <w:p>
      <w:r>
        <w:rPr>
          <w:b/>
        </w:rPr>
        <w:t>E. 3</w:t>
      </w:r>
    </w:p>
    <w:p>
      <w:r>
        <w:t>Il s'ensuit que le recours est admis. L'arrêt attaqué est annulé et la cause est renvoyée à l'autorité précédente pour qu'elle examine le recours cantonal formé le 14 juillet 2020 par le recourant.</w:t>
      </w:r>
    </w:p>
    <w:p>
      <w:r>
        <w:t>Il n'est pas perçu de frais judiciaires ( art. 66 al. 4 LTF ). Le recourant, assisté par un mandataire professionnel, a droit à des dépens à la charge du canton de Vaud ( art. 68 al. 1 LTF ). La requête d'assistance judiciaire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