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1B_430/2015 vom 5. Januar 2016</w:t>
      </w:r>
    </w:p>
    <w:p>
      <w:r>
        <w:t>Bundesgericht, 2016-01-05, FR</w:t>
      </w:r>
    </w:p>
    <w:p>
      <w:r>
        <w:rPr>
          <w:b/>
        </w:rPr>
        <w:t xml:space="preserve">Quelle: </w:t>
      </w:r>
      <w:r>
        <w:t>https://mcp.opencaselaw.ch/entscheid/bger_1B_430_2015</w:t>
      </w:r>
    </w:p>
    <w:p>
      <w:r>
        <w:t>FR: TF 1B_430/2015 du 5 janvier 2016</w:t>
      </w:r>
    </w:p>
    <w:p>
      <w:r>
        <w:t>IT: TF 1B_430/2015 del 5 gennaio 2016</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dont la demande de récusation a été rejetée, a qualité pour agir ( art. 81 al. 1 LTF ). Pour le surplus, interjeté en temps utile ( art. 100 al. 1 LTF ) contre une décision prise en dernière instance cantonale ( art. 80 al. 1 LTF ), les conclusions prises sont recevables ( art. 107 LTF ). Il y a donc lieu d'entrer en matière.</w:t>
      </w:r>
    </w:p>
    <w:p>
      <w:r>
        <w:rPr>
          <w:b/>
        </w:rPr>
        <w:t>E. 2</w:t>
      </w:r>
    </w:p>
    <w:p>
      <w:r>
        <w:t>Le recourant se prévaut de constatations manifestement inexactes des faits et de violations de l'interdiction de l'arbitraire et du principe du droit d'être entendu.</w:t>
      </w:r>
    </w:p>
    <w:p>
      <w:r>
        <w:t>Dans la mesure où ces griefs seraient pertinents, il n'y a toutefois pas lieu de les examiner vu l'issue du litige.</w:t>
      </w:r>
    </w:p>
    <w:p>
      <w:r>
        <w:rPr>
          <w:b/>
        </w:rPr>
        <w:t>E. 3</w:t>
      </w:r>
    </w:p>
    <w:p>
      <w:r>
        <w:t>Invoquant les art. 30 al. 1 Cst. , 6 § 1 CEDH et 56 let. f CPP, le recourant reproche à l'autorité précédente d'avoir considéré que l'expression "menteur patenté" ne constituait pas un motif de récusation.</w:t>
      </w:r>
    </w:p>
    <w:p>
      <w:r>
        <w:rPr>
          <w:b/>
        </w:rPr>
        <w:t>E. 3.1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141 IV 178 consid. 3.2.1 p. 179 s.; 138 IV 142 consid. 2.1 p. 144 et les arrêts cités).</w:t>
      </w:r>
    </w:p>
    <w:p>
      <w:r>
        <w:t>Dans le cadre de l'instruction,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 art. 309 al. 1 CPP )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w:t>
      </w:r>
    </w:p>
    <w:p>
      <w:r>
        <w:rPr>
          <w:b/>
        </w:rPr>
        <w:t>E. 3.2</w:t>
      </w:r>
    </w:p>
    <w:p>
      <w:r>
        <w:t>Selon la jurisprudence, on ne saurait admettre systématiquement la récusation d'un procureur au motif qu'il aurait déjà rendu dans la même cause une ordonnance de non-entrée en matière ou de classement annulée par l'autorité de recours. D'une part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D'autre part, la jurisprudence considère le magistrat appelé à statuer à nouveau après l'annulation d'une de ses décisions est en général à même de tenir compte de l'avis exprimé par l'instance supérieure et de s'adapter aux injonctions qui lui sont faites ( ATF 141 IV 178 consid. 3.2.3 p. 180; 138 IV 142 consid. 2.3 p. 146).</w:t>
      </w:r>
    </w:p>
    <w:p>
      <w:r>
        <w:t>Pour ces raisons également, il n'y a pas lieu de remettre en cause la pratique consistant à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(arrêt 1B_328/2015 du 11 novembre 2015 consid. 3.2). La jurisprudence exige cependant que l'issue de la seconde cause ne soit pas prédéterminée, mais qu'elle demeure indécise quant à la constatation des faits et à la résolution des questions juridiques ( ATF 134 IV 289 consid. 6.2 p. 294; 131 I 24 consid. 1.2 p. 26; arrêt 1B_282/2008 du 16 janvier 2009 consid. 2.4 et 2.5 publié in Pra 2009 94 635).</w:t>
      </w:r>
    </w:p>
    <w:p>
      <w:r>
        <w:rPr>
          <w:b/>
        </w:rPr>
        <w:t>E. 3.3</w:t>
      </w:r>
    </w:p>
    <w:p>
      <w:r>
        <w:t>La cour cantonale a considéré qu'il était établi que le recourant avait menti au cours de la présente procédure, ainsi que dans la précédente où il avait la qualité de plaignant. Selon les premiers juges, il n'était ainsi pas choquant que le Procureur ait mis ses déclarations en doute, notamment puisqu'il disposait d'éléments concrets le démontrant. La juridiction précédente a ensuite relevé que l'expression utilisée n'était pas "très adéquate, voire à la limite de ce qui était admissible", mais qu'au vu des circonstances, il s'agissait "tout au plus [d']une façon maladroite du Procureur de s'exprimer face à un prévenu qui sert des explications clairement contraires à la vérité".</w:t>
      </w:r>
    </w:p>
    <w:p>
      <w:r>
        <w:rPr>
          <w:b/>
        </w:rPr>
        <w:t>E. 3.4</w:t>
      </w:r>
    </w:p>
    <w:p>
      <w:r>
        <w:t>Ce raisonnement ne peut être suivi. Certes, les propos tenus par le recourant paraissent soulever certaines interrogations, ce qui pourra, le cas échéant, être invoqué par le Procureur devant le juge du fond et devra être expliqué par le recourant.</w:t>
      </w:r>
    </w:p>
    <w:p>
      <w:r>
        <w:t>En revanche, au stade de l'instruction, le Procureur n'a pas encore la qualité de partie au sens de l' art. 104 al. 1 let . c CPP (sur cette position, cf. ATF 141 IV 178 consid. 3.2.2 in fine p. 180; 138 IV 142 consid. 2.2.2 p. 145 s.). En tant que direction de la procédure ( art. 61 CPP ), son attitude et/ou ses déclarations ne doivent donc pas laisser à penser que son appréciation quant à la culpabilité du prévenu serait définitivement arrêtée ( art. 6 et 10 CPP ). Or, l'expression utilisée ne paraît plus garantir que l'issue de la cause demeurerait encore indécise en particulier quant à la constatation des faits potentiellement constitutifs des infractions examinées. En effet, le Procureur ne s'est pas limité à relever les contradictions entre les différents propos tenus par le recourant, mais a qualifié - de manière fort négative - le comportement a priori adopté. En traitant le recourant de "menteur patenté", le magistrat intimé - qui a également instruit la cause dans laquelle le recourant était plaignant - semble ainsi tenir pour établi que celui-ci ait menti à réitérées reprises au cours des deux procédures pénales. Les termes utilisés laissent aussi à penser que les possibles déclarations à venir du recourant seraient de facto dénuées de toute crédibilité, voire que le magistrat intimé serait déjà convaincu de la culpabilité du prévenu. Dans ces circonstances, une instruction menée tant à charge qu'à décharge ne semble plus pouvoir être assurée.</w:t>
      </w:r>
    </w:p>
    <w:p>
      <w:r>
        <w:t>Il en résulte que le recourant pouvait à juste titre considérer la remarque tenue lors de l'audience du 24 septembre 2015 non plus comme une maladresse, mais comme un signe d'une possible prévention de la part du Procureur intimé à son encontre. Partant, la Chambre des recours pénale a violé le droit fédéral en rejetant la requête de récusation ( art. 56 let . f CPP) et ce grief doit être admis.</w:t>
      </w:r>
    </w:p>
    <w:p>
      <w:r>
        <w:rPr>
          <w:b/>
        </w:rPr>
        <w:t>E. 4</w:t>
      </w:r>
    </w:p>
    <w:p>
      <w:r>
        <w:t>Il s'ensuit que le recours est admis. L'arrêt du 19 octobre 2015 de la Chambre des recours pénale est annulé. La requête de récusation déposée le 24 septembre 2015 est admise et la cause est renvoyée à l'autorité précédente afin qu'un autre procureur soit désigné pour la suite de la procédure.</w:t>
      </w:r>
    </w:p>
    <w:p>
      <w:r>
        <w:t>Conformément à l' art. 68 al. 1 LTF , une indemnité de dépens est alloué au recourant, à la charge du canton de Vaud. Cela rend sans objet sa requête d'assistance judiciaire. Il n'est pas perçu de frais judiciaires ( art. 66 al. 4 LTF ). Il appartiendra à la cour cantonale de statuer sur les frais et dépens relatifs à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