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1B_430/2010 vom 4. Januar 2011</w:t>
      </w:r>
    </w:p>
    <w:p>
      <w:r>
        <w:t>Bundesgericht, 2011-01-04, DE</w:t>
      </w:r>
    </w:p>
    <w:p>
      <w:r>
        <w:rPr>
          <w:b/>
        </w:rPr>
        <w:t xml:space="preserve">Quelle: </w:t>
      </w:r>
      <w:r>
        <w:t>https://mcp.opencaselaw.ch/entscheid/bger_1B_430_2010</w:t>
      </w:r>
    </w:p>
    <w:p>
      <w:r>
        <w:t>FR: TF 1B_430/2010 du 4 janvier 2011</w:t>
      </w:r>
    </w:p>
    <w:p>
      <w:r>
        <w:t>IT: TF 1B_430/2010 del 4 gennaio 2011</w:t>
      </w:r>
    </w:p>
    <w:p>
      <w:pPr>
        <w:pStyle w:val="Heading2"/>
      </w:pPr>
      <w:r>
        <w:t>Erwägungen</w:t>
      </w:r>
    </w:p>
    <w:p>
      <w:r>
        <w:rPr>
          <w:b/>
        </w:rPr>
        <w:t>E. 1</w:t>
      </w:r>
    </w:p>
    <w:p>
      <w:r>
        <w:t>Gegen X.________ läuft ein Strafverfahren wegen qualifizierter Widerhandlung gegen das Betäubungsmittelgesetz. Seit dem 19. Oktober 2010 befindet er sich in Untersuchungshaft. Gemäss Entscheid vom 23. Dezember 2010 hat der Haftrichter des Strafgerichts Basel-Stadt ein vom Beschuldigten am 19. Dezember 2010 gestelltes Haftentlassungsgesuch abgewiesen.</w:t>
      </w:r>
    </w:p>
    <w:p>
      <w:r>
        <w:rPr>
          <w:b/>
        </w:rPr>
        <w:t>E. 2</w:t>
      </w:r>
    </w:p>
    <w:p>
      <w:r>
        <w:t>Mit Eingabe vom 30. Dezember 2010 führt der Verteidiger des Beschuldigten Beschwerde in Strafsachen ans Bundesgericht mit dem Hauptbegehren, der Haftentscheid vom 23. Dezember 2010 sei aufzuheben; er, der Beschwerdeführer, sei umgehend aus der Haft zu entlassen; eventualiter sei die Sache zu neuem Entscheid an das Strafgericht zurückzuweisen. Er rügt dabei namentlich eine Verletzung des Anspruchs auf rechtliches Gehör bzw. eine Verletzung der Begründungspflicht.</w:t>
      </w:r>
    </w:p>
    <w:p>
      <w:r>
        <w:t>Das Bundesgericht hat darauf verzichtet, Vernehmlassungen zur Beschwerde einzuholen.</w:t>
      </w:r>
    </w:p>
    <w:p>
      <w:r>
        <w:rPr>
          <w:b/>
        </w:rPr>
        <w:t>E. 3.1</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w:t>
      </w:r>
    </w:p>
    <w:p>
      <w:r>
        <w:rPr>
          <w:b/>
        </w:rPr>
        <w:t>E. 3.2</w:t>
      </w:r>
    </w:p>
    <w:p>
      <w:r>
        <w:t>Die hier angefochtene Verfügung enthält lediglich eine ganz allgemein gehaltene Kurz-Begründung. Der Haftrichter beschränkt sich auf eine Feststellung in Bezug auf den Haftgrund der Kollusionsgefahr und verweist im Übrigen auf einen vom Appellationsgericht des Kantons Basel-Stadt in der Sache bereits am 5. November 2010 gefällten Entscheid: "Es besteht nach wie vor Kollusionsgefahr mit den vom Beschuldigten nicht genannten Lieferanten und Abnehmern, zumal anzunehmen ist, dass X.________ schon seit längerer Zeit in den Betäubungsmittelhandel involviert ist. Wie das Appellationsgericht in seinem Urteil vom 5. November 2010 festgehalten hat, ist von einer organisierten Drogenbande auszugehen, in deren Vertriebsnetz X.________ eine grössere Rolle spielt. Bei derartigen Konstellationen sind Absprachen mit und Beeinflussungen von mit beteiligten Personen zu befürchten, so dass die Kollusionsgefahr auch nach Abschluss der Ermittlungen fortbesteht."</w:t>
      </w:r>
    </w:p>
    <w:p>
      <w:r>
        <w:t>Zwar kann es grundsätzlich zulässig sein, dass der Haftrichter zur Entscheidbegründung insbesondere etwa auf den Haftantrag der Untersuchungs- bzw. Anklagebehörde oder auf vergleichbare Dokumente verweist (vgl. BGE 123 I 31 E. 2 S. 33 ff.). Der hier angefochtenen Verfügung lassen sich jedoch keinerlei Anhaltspunkte zur Frage entnehmen, inwiefern der Haftrichter sich selber mit den vom Beschwerdeführer gegen die Weiterführung der Inhaftierung bereits im kantonalen Verfahren detailliert erhobenen Einwänden auseinandersetzte.</w:t>
      </w:r>
    </w:p>
    <w:p>
      <w:r>
        <w:t>Nach dem gemäss vorstehender E. 3.1 Ausgeführten ist die angefochtene Verfügung in Anwendung von Art. 112 Abs. 3 BGG aufzuheben und die Sache zu neuem, den Anforderungen von Art. 112 Abs. 1 lit. b BGG genügendem Entscheid zurückzuweisen.</w:t>
      </w:r>
    </w:p>
    <w:p>
      <w:r>
        <w:rPr>
          <w:b/>
        </w:rPr>
        <w:t>E. 4</w:t>
      </w:r>
    </w:p>
    <w:p>
      <w:r>
        <w:t>Das nach der nunmehr massgebenden Schweizerischen Strafprozessordnung (Art. 225 i.V.m. Art. 448 ff. StPO ) zuständige Zwangsmassnahmengericht wird unter Beachtung des besonderen Beschleunigungsgebots in Haftsachen ( Art. 31 Abs. 4 BV , Art. 5 Ziff. 4 EMRK ) neu zu verfügen haben. Da ein Haftgrund nicht offensichtlich fehlt, kommt die Haftentlassung durch das Bundesgericht nicht in Betracht.</w:t>
      </w:r>
    </w:p>
    <w:p>
      <w:r>
        <w:rPr>
          <w:b/>
        </w:rPr>
        <w:t>E. 5</w:t>
      </w:r>
    </w:p>
    <w:p>
      <w:r>
        <w:t>Bei den gegebenen Verhältnissen rechtfertigt es sich, für das vorliegende Verfahren keine Gerichtskosten zu erheben ( Art. 66 BGG ). Jedoch ist der Kanton Basel-Stadt gemäss Art. 68 Abs. 4 in Verbindung mit Art. 66 Abs. 3 BGG zu verpflichten, dem Beschwerdeführer eine angemessene Entschädigung für das bundesgerichtliche 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