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42/2015 vom 16. Februar 2015</w:t>
      </w:r>
    </w:p>
    <w:p>
      <w:r>
        <w:t>Bundesgericht, 2015-02-16, FR</w:t>
      </w:r>
    </w:p>
    <w:p>
      <w:r>
        <w:rPr>
          <w:b/>
        </w:rPr>
        <w:t xml:space="preserve">Quelle: </w:t>
      </w:r>
      <w:r>
        <w:t>https://mcp.opencaselaw.ch/entscheid/bger_1B_42_2015</w:t>
      </w:r>
    </w:p>
    <w:p>
      <w:r>
        <w:t>FR: TF 1B 42/2015 du 16 février 2015</w:t>
      </w:r>
    </w:p>
    <w:p>
      <w:r>
        <w:t>IT: TF 1B 42/2015 del 16 febbraio 2015</w:t>
      </w:r>
    </w:p>
    <w:p>
      <w:pPr>
        <w:pStyle w:val="Heading2"/>
      </w:pPr>
      <w:r>
        <w:t>Regeste</w:t>
      </w:r>
    </w:p>
    <w:p>
      <w:r>
        <w:t>détention provisoire | Procédure pénale</w:t>
      </w:r>
    </w:p>
    <w:p>
      <w:pPr>
        <w:pStyle w:val="Heading2"/>
      </w:pPr>
      <w:r>
        <w:t>Erwägungen</w:t>
      </w:r>
    </w:p>
    <w:p>
      <w:r>
        <w:rPr>
          <w:b/>
        </w:rPr>
        <w:t>E. 1</w:t>
      </w:r>
    </w:p>
    <w:p>
      <w:r>
        <w:t>Selon l' art. 78 al. 1 LTF , le recours en matière pénale est ouvert contre les décisions rendues en matière pénale. En font partie les décisions rendues en matière de détention provisoire ou pour des motifs de sûreté au sens des art. 212 ss CPP . L'arrêt attaqué a été rendu en dernière instance cantonale ( art. 80 LTF ). Selon l'art. 81 al. 1 let. a et let. b ch. 3 LTF, l'accusateur public a en principe qualité pour agir contre une décision de mise en liberté sous conditions (cf. ATF 137 IV 22 ; 134 IV 36 ) et les conclusions du recours sont recevables au regard de l' art. 107 al. 2 LTF .</w:t>
      </w:r>
    </w:p>
    <w:p>
      <w:r>
        <w:rPr>
          <w:b/>
        </w:rPr>
        <w:t>E. 2</w:t>
      </w:r>
    </w:p>
    <w:p>
      <w:r>
        <w:t>Le Ministère public relève que l'existence de charges suffisantes ainsi qu'un risque de fuite ont été reconnus par la cour cantonale. La prévenue étant exposée à une peine privative de liberté de plusieurs années, le dépôt du passeport ne permettrait pas d'éviter une fuite de la France vers l'étranger, ou un passage dans la clandestinité en France ou dans l'espace Schengen. Le montant des sûretés serait lui aussi insuffisant.</w:t>
      </w:r>
    </w:p>
    <w:p>
      <w:r>
        <w:rPr>
          <w:b/>
        </w:rPr>
        <w:t>E. 2.1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 117 Ia 69 consid. 4a p. 70).</w:t>
      </w:r>
    </w:p>
    <w:p>
      <w:r>
        <w:rPr>
          <w:b/>
        </w:rPr>
        <w:t>E. 2.2</w:t>
      </w:r>
    </w:p>
    <w:p>
      <w:r>
        <w:t>En l'occurrence, l'intimée est de nationalité camerounaise et domiciliée à Strasbourg où elle s'occupe de ses deux enfants, travaille (pour un salaire de 926 euros par mois) et perçoit des allocations familiales (460 euros par mois). L'arrêt cantonal retient que la prévenue ne dispose d'aucune attache avec la Suisse, ce qui n'est pas contesté. Même si elle ne revient pas sur l'existence de charges suffisantes, l'intimée relativise les accusations dont elle fait l'objet. Elle relève que les faits datent de plus de sept ans et que les personnes qui l'impliquent - également mises en cause - pourraient avoir des intérêts à le faire. L'arrêt cantonal relève toutefois que l'implication de l'intimée se trouve confirmée par l'analyse rétroactive de conversations téléphoniques. Il n'y a dès lors pas de raison de remettre en cause les charges retenues à ce stade, qui portent sur un trafic de huit kilos de cocaïne commis durant quelques mois, et sont dès lors susceptible de tomber sous le coup de l' art. 19 al. 2 LStup . En dépit du temps écoulé depuis les faits et de l'absence d'inscription au casier judiciaire, l'intimée se trouve exposée à une peine privative de liberté nettement supérieure à une année. Le risque de fuite apparaît ainsi particulièrement évident.</w:t>
      </w:r>
    </w:p>
    <w:p>
      <w:r>
        <w:rPr>
          <w:b/>
        </w:rPr>
        <w:t>E. 2.3</w:t>
      </w:r>
    </w:p>
    <w:p>
      <w:r>
        <w:t>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et la saisie des documents d'identité (let. b).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(arrêts 1B_274 2014 du 26 août 2014, consid. 3.3; 1P.165/2006 du 19 avril 2006 consid. 3.2.1, in SJ 2006 I p. 395). Il convient également de faire preuve de prudence quant à l'origine des fonds proposés comme sûretés (arrêt 1B_576/2012 du 19 octobre 2012 consid. 5.3 et les références citées).</w:t>
      </w:r>
    </w:p>
    <w:p>
      <w:r>
        <w:rPr>
          <w:b/>
        </w:rPr>
        <w:t>E. 2.4</w:t>
      </w:r>
    </w:p>
    <w:p>
      <w:r>
        <w:t>En l'occurrence, le dépôt du passeport de la prévenue présente d'emblée une efficacité limitée dès lors que celle-ci a son domicile à l'étranger et pourrait ainsi être tentée d'entrer dans la clandestinité, en France ou dans un autre pays de l'espace Schengen. En outre, de nationalité camerounaise, ses déplacements entre la Suisse et la France seront, cas échéant, administrativement problématiques. S'agissant du montant des sûretés (qui correspond à moins de deux mois de revenus tels que déclarés par l'intimée), il est en soi insuffisant compte tenu de la gravité de l'infraction et de la lourde peine privative de liberté susceptible d'être prononcée. L'intimée relève qu'elle est mère de deux enfants nés en 2005 et 2012, et qu'il n'y aurait aucun risque de la voir les abandonner pour tomber dans la clandestinité et la précarité. Le risque de séparation n'est toutefois pas moindre si la recourante devait être condamnée en Suisse à plusieurs années de privation de liberté. Compte tenu de la nationalité de l'intimée, de son domicile en France et de la gravité des charges, le montant de la caution apparaît manifestement insuffisant pour prévenir un risque de fuite. La motivation de l'arrêt cantonal, lapidaire sur ce point, ne permet pas de comprendre les raisons de la fixation d'un montant aussi modeste.</w:t>
      </w:r>
    </w:p>
    <w:p>
      <w:r>
        <w:rPr>
          <w:b/>
        </w:rPr>
        <w:t>E. 3</w:t>
      </w:r>
    </w:p>
    <w:p>
      <w:r>
        <w:t>Le recours doit par conséquent être admis pour ce motif. L'arrêt attaqué est annulé et la cause renvoyée à la Chambre des recours pénale. Statuant à nouveau, celle-ci devra tenter de cerner plus précisément, avec la collaboration de l'intimée, l'ensemble de sa situation personnelle et patrimoniale ainsi que ses liens éventuels avec des personnes susceptibles de fournir cas échéant des sûretés en sa faveur. Au demeurant, dans l'hypothèse où l'intimée devrait être maintenue en détention, le Ministère public devra instruire cette cause avec une célérité particulière ( art. 5 CPP ) compte tenu des circonstances (ancienneté des éventuelles infractions et situation familiale de l'intimée). L'intimée, qui succombe, a demandé l'assistance judiciaire; celle-ci peut lui être accordée. Il n'est pas perçu de frais judiciaires ( art. 64 al. 1 LTF ) et Me Diserens est désignée comme avocate d'office, rémunérée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