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1B_429/2016 vom 17. November 2016</w:t>
      </w:r>
    </w:p>
    <w:p>
      <w:r>
        <w:t>Bundesgericht, 2016-11-17, DE</w:t>
      </w:r>
    </w:p>
    <w:p>
      <w:r>
        <w:rPr>
          <w:b/>
        </w:rPr>
        <w:t xml:space="preserve">Quelle: </w:t>
      </w:r>
      <w:r>
        <w:t>https://mcp.opencaselaw.ch/entscheid/bger_1B_429_2016</w:t>
      </w:r>
    </w:p>
    <w:p>
      <w:r>
        <w:t>FR: TF 1B_429/2016 du 17 novembre 2016</w:t>
      </w:r>
    </w:p>
    <w:p>
      <w:r>
        <w:t>IT: TF 1B_429/2016 del 17 novembre 2016</w:t>
      </w:r>
    </w:p>
    <w:p>
      <w:pPr>
        <w:pStyle w:val="Heading2"/>
      </w:pPr>
      <w:r>
        <w:t>Erwägungen</w:t>
      </w:r>
    </w:p>
    <w:p>
      <w:r>
        <w:rPr>
          <w:b/>
        </w:rPr>
        <w:t>E. 1</w:t>
      </w:r>
    </w:p>
    <w:p>
      <w:r>
        <w:t>Die Staatsanwaltschaft March sprach A.________ mit Strafbefehl vom 23. März 2015 der Tierquälerei und der Widerhandlung gegen das Tierschutzgesetz schuldig. Dagegen erhob A.________ am 2. April 2015 Einsprache.</w:t>
      </w:r>
    </w:p>
    <w:p>
      <w:r>
        <w:t>Mit Strafbefehl vom 14. September 2015 sprach die Staatsanwaltschaft March A.________ der Vereitelung von Massnahmen zur Feststellung der Fahrunfähigkeit schuldig. A.________ erhob dagegen am 27. September 2015 Einsprache.</w:t>
      </w:r>
    </w:p>
    <w:p>
      <w:r>
        <w:rPr>
          <w:b/>
        </w:rPr>
        <w:t>E. 2</w:t>
      </w:r>
    </w:p>
    <w:p>
      <w:r>
        <w:t>Der leitende Staatsanwalt der March vereinigte mit Verfügung vom 2. Juni 2016 die Verfahren wegen Tierquälerei und Widerhandlung gegen das Tierschutzgesetz sowie wegen Vereitelung von Massnahmen zur Feststellung der Fahrunfähigkeit. A.________ erhob gegen diese Verfügung Beschwerde, welche das Kantonsgericht Schwyz mit Beschluss vom 11. Oktober 2016 abwies, soweit es darauf eintrat. Zur Begründung führte das Kantonsgericht zusammenfassend aus, dass die Verfahrensvereinigung dem Grundsatz der Verfahrenseinheit ( Art. 29 Abs. 1 StPO ) und damit dem Normalfall entspreche. Zwingende sachliche Gründe ( Art. 30 StPO ), die für eine Trennung der Verfahren sprächen, bestünden keine. Ausserdem büsse der Angeschuldigte durch die Verfahrensvereinigung keine seiner Verteidigungsmöglichkeiten ein.</w:t>
      </w:r>
    </w:p>
    <w:p>
      <w:r>
        <w:rPr>
          <w:b/>
        </w:rPr>
        <w:t>E. 3</w:t>
      </w:r>
    </w:p>
    <w:p>
      <w:r>
        <w:t>A.________ führt mit Eingabe vom 14. November 2016 (Postaufgabe 15. November 2016) Beschwerde in Strafsachen gegen den Beschluss des Kantonsgerichts Schwyz vom 11. Oktober 2016.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Das Kantonsgericht nannte in seiner Begründung die einschlägigen Bestimmungen für die Vereinigung bzw. Trennung von Verfahren. Mit einlässlicher Begründung legte es dar, dass keine sachlichen Gründe vorliegen würden, welche ausnahmsweise ein Abweichen vom Grundsatz der Verfahrenseinheit rechtfertigen könnten. Mit diesen Ausführungen setzt sich der Beschwerdeführer nicht auseinander. Mit der Darlegung seiner Sicht der Dinge vermag er nicht aufzuzeigen, inwiefern die Begründung des angefochtenen Beschlusses bzw. die von ihm beanstandete Verfahrensvereinigung rechts- bzw. verfassungswidrig sein soll. Somit ist mangels einer genügenden Begründung im Sinne von Art. 42 Abs. 2 BGG auf die Beschwerde nicht einzutreten. Der Begründungsmangel ist offensichtlich, weshalb über die Beschwerde im vereinfachten Verfahren nach Art. 108 Abs. 1 BGG entschieden werden kann.</w:t>
      </w:r>
    </w:p>
    <w:p>
      <w:r>
        <w:rPr>
          <w:b/>
        </w:rPr>
        <w:t>E. 5</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