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428/2022 vom 18. August 2022</w:t>
      </w:r>
    </w:p>
    <w:p>
      <w:r>
        <w:t>Bundesgericht, 2022-08-18, DE</w:t>
      </w:r>
    </w:p>
    <w:p>
      <w:r>
        <w:rPr>
          <w:b/>
        </w:rPr>
        <w:t xml:space="preserve">Quelle: </w:t>
      </w:r>
      <w:r>
        <w:t>https://mcp.opencaselaw.ch/entscheid/bger_1B_428_2022</w:t>
      </w:r>
    </w:p>
    <w:p>
      <w:r>
        <w:t>FR: TF 1B 428/2022 du 18 août 2022</w:t>
      </w:r>
    </w:p>
    <w:p>
      <w:r>
        <w:t>IT: TF 1B 428/2022 del 18 agosto 2022</w:t>
      </w:r>
    </w:p>
    <w:p>
      <w:pPr>
        <w:pStyle w:val="Heading2"/>
      </w:pPr>
      <w:r>
        <w:t>Regeste</w:t>
      </w:r>
    </w:p>
    <w:p>
      <w:r>
        <w:t>Strafverfahren; notwendige Verteidigung | Strafprozess</w:t>
      </w:r>
    </w:p>
    <w:p>
      <w:pPr>
        <w:pStyle w:val="Heading2"/>
      </w:pPr>
      <w:r>
        <w:t>Erwägungen</w:t>
      </w:r>
    </w:p>
    <w:p>
      <w:r>
        <w:rPr>
          <w:b/>
        </w:rPr>
        <w:t>E. 1</w:t>
      </w:r>
    </w:p>
    <w:p>
      <w:r>
        <w:t>Die Staatsanwaltschaft des Kantons Schwyz bestellte A.________ am 3. März 2022 im Strafverfahren wegen Betrugs, Urkundenfälschung etc. eine amtliche Verteidigerin. Dagegen erhob A.________ am 14. März 2022 Beschwerde, da er sich selbst verteidigen wolle. Mit Beschluss vom 8. Juli 2022 wies das Kantonsgericht Schwyz die Beschwerde ab. Es liege ein Fall einer notwendigen Verteidigung im Sinne von Art. 130 lit. b StPO vor, da dem Beschuldigten eine Freiheitsstrafe von mehr als einem Jahr drohe. Soweit A.________ die hoheitlichen Befugnisse der Staatsanwaltschaft verneinte, verwies ihn das Kantonsgericht auf die Strafprozessordnung (StPO), insbesondere auf Art. 131 StPO i.V.m. Art. 61 lit. a StPO .</w:t>
      </w:r>
    </w:p>
    <w:p>
      <w:r>
        <w:rPr>
          <w:b/>
        </w:rPr>
        <w:t>E. 2</w:t>
      </w:r>
    </w:p>
    <w:p>
      <w:r>
        <w:t>Dagegen erhob A.________ mit Eingabe vom 15. August 2022 (Postaufgabe 16. August 2022) Beschwerde in Strafsachen. Das Bundesgericht verzichtet auf die Einholung von Vernehmlassungen.</w:t>
      </w:r>
    </w:p>
    <w:p>
      <w:r>
        <w:rPr>
          <w:b/>
        </w:rPr>
        <w:t>E. 3</w:t>
      </w:r>
    </w:p>
    <w:p>
      <w:r>
        <w:t>Der Beschwerdeführer beantragt einen Nachweis der "hoheitlichen Befugnisse aller" an diesem Verfahren mitwirkenden Gerichtspersonen. Die Namen der Bundesrichterinnen und -richter sowie der Gerichtsschreibenden sind öffentlich und können wie die Zusammensetzung der Abteilungen dem Staatskalender bzw. der Internetseite des Bundesgerichts entnommen werden.</w:t>
      </w:r>
    </w:p>
    <w:p>
      <w:r>
        <w:rPr>
          <w:b/>
        </w:rPr>
        <w:t>E. 4</w:t>
      </w:r>
    </w:p>
    <w:p>
      <w:r>
        <w:t>Streitgegenstand ist vorliegend einzig die Bestellung einer amtlichen Verteidigerin. Soweit der Beschwerdeführer Anträge stellt, die über den Streitgegenstand hinausgehen, kann darauf von vornherein nicht eingetreten werden.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Der Beschwerdeführer setzt sich mit der Begründung des Kantonsgerichts nicht auseinander. Mit seinen Ausführungen vermag er nicht aufzuzeigen, inwiefern die Begründung des Kantonsgerichts bzw. dessen Beschluss selbst rechts- bzw. verfassungswidrig sein soll. Die Beschwerde genügt den gesetzlichen Formerfordernissen offensichtlich nicht, weshalb auf sie im vereinfachten Verfahren nach Art. 108 Abs. 1 BGG nicht einzutreten ist.</w:t>
      </w:r>
    </w:p>
    <w:p>
      <w:r>
        <w:rPr>
          <w:b/>
        </w:rPr>
        <w:t>E. 6</w:t>
      </w:r>
    </w:p>
    <w:p>
      <w:r>
        <w:t>Bei diesem Verfahrensausgang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