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1B_427/2022 vom 9. September 2022</w:t>
      </w:r>
    </w:p>
    <w:p>
      <w:r>
        <w:t>Bundesgericht, 2022-09-09, FR</w:t>
      </w:r>
    </w:p>
    <w:p>
      <w:r>
        <w:rPr>
          <w:b/>
        </w:rPr>
        <w:t xml:space="preserve">Quelle: </w:t>
      </w:r>
      <w:r>
        <w:t>https://mcp.opencaselaw.ch/entscheid/bger_1B_427_2022</w:t>
      </w:r>
    </w:p>
    <w:p>
      <w:r>
        <w:t>FR: TF 1B_427/2022 du 9 septembre 2022</w:t>
      </w:r>
    </w:p>
    <w:p>
      <w:r>
        <w:t>IT: TF 1B_427/2022 del 9 settembre 2022</w:t>
      </w:r>
    </w:p>
    <w:p>
      <w:pPr>
        <w:pStyle w:val="Heading2"/>
      </w:pPr>
      <w:r>
        <w:t>Erwägungen</w:t>
      </w:r>
    </w:p>
    <w:p>
      <w:r>
        <w:rPr>
          <w:b/>
        </w:rPr>
        <w:t>E. 1</w:t>
      </w:r>
    </w:p>
    <w:p>
      <w:r>
        <w:t>Le recours en matière pénale ( art. 78 al. 1 LTF ) est ouvert contre une décision relative à la détention pour des motifs de sûreté au sens des art. 212 ss CPP ( ATF 137 IV 22 consid. 1). Selon l'art. 81 al. 1 let. a et b ch. 1 LTF, le recourant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conteste l'existence d'un risque de fuite suffisant pour justifier son maintien en détention jusqu'aux débats en appel.</w:t>
      </w:r>
    </w:p>
    <w:p>
      <w:r>
        <w:rPr>
          <w:b/>
        </w:rPr>
        <w:t>E. 2.1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 L' art. 231 al. 1 CPP prévoit qu'au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Matériellement, cette disposition a notamment pour but d'assurer la recherche de la vérité dans les cas d'infractions graves, en particulier en cas de risque de fuite et de collusion. L' art. 221 al. 1 let. a CPP se trouve ainsi renforcé par l' art. 231 al. 1 CPP après une condamnation intervenue en première instance, notamment lorsque les faits concernant une infraction grave sont contestés ( ATF 145 IV 503 consid. 2.1).</w:t>
      </w:r>
    </w:p>
    <w:p>
      <w:r>
        <w:rPr>
          <w:b/>
        </w:rPr>
        <w:t>E. 2.2</w:t>
      </w:r>
    </w:p>
    <w:p>
      <w:r>
        <w:t>Selon la jurisprudence, le risque de fuite s'analyse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w:t>
      </w:r>
    </w:p>
    <w:p>
      <w:r>
        <w:rPr>
          <w:b/>
        </w:rPr>
        <w:t>E. 2.3</w:t>
      </w:r>
    </w:p>
    <w:p>
      <w:r>
        <w:t>En l'occurrence, la peine prononcée en première instance à l'encontre du recourant, soit une peine privative de liberté de 13 ans pour meurtre, apparaît en soi importante. Comme le relève la Présidente de la Chambre pénale d'appel et de révision, le recourant, qui aura prochainement 72 ans et n'a purgé que 57 jours de détention avant jugement, est désormais confronté à la perspective de passer une bonne partie des dernières années de sa vie en prison si son appel devait être rejeté, respectivement si l'appel joint du Ministère public devait être admis (cf. ATF 145 IV 504 consid. 2.3; arrêt 1B_280/2022 du 28 juin 2022 consid. 4.3 et 4.4).</w:t>
      </w:r>
    </w:p>
    <w:p>
      <w:r>
        <w:t>Le recourant peut certes se prévaloir d'attaches importantes en Suisse avec sa compagne de vie, les membres de sa famille (en particulier ses trois enfants issus d'un premier mariage, qui se sont portés caution, leurs conjoints et sa petite fille), et les enfants de sa défunte épouse, lesquels ont renoncé à se constituer parties plaignantes dans la procédure pénale. Mises en balance avec la gravité des actes reprochés et la peine privative de liberté importante à laquelle il a été condamné en première instance, elles ne paraissent pas suffisantes pour exclure que le recourant ne préfère quitter la Suisse, fût-ce dans des conditions plus inconfortables que celles qu'il a connues jusqu'alors, plutôt que de subir une incarcération de longue durée. Il s'est au surplus rendu à sept reprises à l'étranger au bénéfice d'autorisations délivrées par l'autorité au cours de la procédure pour des activités professionnelles. L'affirmation du recourant selon laquelle il n'aurait aucun contact demeurant à l'étranger doit ainsi être accueillie avec réserve. Dans un précédent arrêt, la Cour de céans avait d'ailleurs confirmé l'appréciation de la Chambre pénale de recours de la Cour de justice selon laquelle l'aisance financière du recourant et le réseau relationnel tissé au travers de ses activités socio-professionnelles, aussi résiduelles soient-elles aujourd'hui en raison de son âge, lui permettraient de refaire sa vie à l'étranger sans guère de difficulté et pourraient l'inciter, par crainte d'une peine privative de liberté d'une certaine importance s'il était condamné, à sacrifier les attaches affectueuses qu'il disait avoir nouées avec les enfants de sa défunte femme et leurs propres enfants (arrêt 1B_306/2020 du 10 juillet 2020 consid. 4.2). L'éventualité de devoir renoncer aux mandats d'administrateur que le recourant conserve au sein de la société B.________ AG et de la Fondation C.________ et à son investissement dans les projets de renaturation du domaine de D.________ ne suffit pas pour exclure un risque de fuite au regard de la peine privative de liberté à laquelle il s'expose pour considérer qu'il préférera rester en Suisse plutôt que de se présenter à l'audience d'appel. Le fait qu'il n'ait pas profité de sa liberté au cours de la procédure pénale, respectivement de ses déplacements autorisés à l'étranger, pour se soustraire à l'instruction n'apparaît pas davantage déterminant pour apprécier le risque de fuite car il avait alors encore la perspective d'être acquitté en première instance (cf. arrêt 1B_421/2021 du 21 août 2021 consid. 2.3).</w:t>
      </w:r>
    </w:p>
    <w:p>
      <w:r>
        <w:t>Le recourant, dont la présence à l'audience d'appel est indispensable, conteste ainsi en vain l'existence d'un risque de fuite, lequel peut être qualifié d'élevé au vu des circonstances.</w:t>
      </w:r>
    </w:p>
    <w:p>
      <w:r>
        <w:rPr>
          <w:b/>
        </w:rPr>
        <w:t>E. 3</w:t>
      </w:r>
    </w:p>
    <w:p>
      <w:r>
        <w:t>Le recourant soutient que le risque de fuite pouvait être pallié par le dépôt de sûretés. La Présidente de la Chambre pénale d'appel et de révision aurait retenu à tort et en méconnaissance des éléments à sa disposition que sa situation financière demeurait peu claire et que, combinée aux autres mesures de substitution proposées, la fourniture de sûretés ne permettait pas de prononcer sa libération jusqu'aux débats d'appel fixés dans la semaine du 24 octobre 2022.</w:t>
      </w:r>
    </w:p>
    <w:p>
      <w:r>
        <w:rPr>
          <w:b/>
        </w:rPr>
        <w:t>E. 3.1</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dont le montant dépend de la gravité des actes reprochés au prévenu et de sa situation personnelle ( art. 238 al. 2 CPP ), la saisie des documents d'identité et autres documents officiels (let. b), l'assignation à résidence (let. c), ou encore l'obligation de se présenter régulièrement à un service administratif (let. d). L' art. 237 al. 3 CPP précise que, pour surveiller l'exécution de ces mesures, le tribunal peut ordonner l'utilisation d'appareils techniques qui peuvent être fixés à la personne sous surveillance.</w:t>
      </w:r>
    </w:p>
    <w:p>
      <w:r>
        <w:t>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une caution prohibitive n'étant pas admissible (cf. ATF 105 Ia 186 consid. 4a). Il convient également de tenir compte de l'origine des fonds proposés comme sûretés (arrêt 1B_569/2021 du 4 novembre 2021 consid. 3.1). Par ailleurs, même une caution élevée peut ne pas suffire pour pallier un risque de fuite lorsque la situation financière du prévenu ou celle des personnes appelées à servir de caution est incomplète ou présente des incertitudes (arrêt 8G.11/2003 du 21 février 2003 consid. 5). Enfin, le juge de la détention peut renoncer à ordonner une mise en liberté sous caution ou moyennant le versement de sûretés lorsqu'il a la conviction que cette mesure ne suffira pas à garantir la présence de l'inculpé aux débats et, le cas échéant, sa soumission au jugement (arrêt 1B_73/2011 du 14 mars 2011 consid. 4.1).</w:t>
      </w:r>
    </w:p>
    <w:p>
      <w:r>
        <w:rPr>
          <w:b/>
        </w:rPr>
        <w:t>E. 3.2</w:t>
      </w:r>
    </w:p>
    <w:p>
      <w:r>
        <w:t>En l'occurrence, le recourant conteste le manque de transparence concernant son état de fortune retenu par l'autorité précédente pour refuser sa libération sous caution. Les chiffres évoqués à l'appui de sa demande de mise en liberté et dans le présent recours font état d'une fortune mobilière résiduelle propre au 31 mai 2022 de 4'774'044.40 francs. Ils s'écartent de ceux qu'il avait fournis oralement à l'autorité de jugement de première instance lors de l'audience de jugement où il disait disposer d'une fortune mobilière de 15'000'000 francs en sus d'une fortune immobilière de 12'000'000 francs. Il s'est expliqué à ce propos en affirmant qu'il avait involontairement cumulé les fortunes mobilières et immobilières. Pareille erreur peut paraître étonnante de la part d'un homme d'affaires expérimenté au bénéfice d'une formation d'avocat-notaire. Peu importe cependant. Le recourant propose à titre de mesure de substitution à sa détention de maintenir les sûretés déjà fournies, dont 2'900'000 francs bloqués à titre de caution sur son compte bancaire auprès de la banque E.________, le solde des sûretés à hauteur de 1'750'000 francs devant être versé par des membres de sa famille, sa compagne de vie et un proche. Il subsisterait ainsi un solde disponible conséquent de plus de 1'800'000 francs sur la fortune mobilière personnelle du recourant auquel s'ajouteraient le montant des rentes qu'il touche à raison de 3'900 francs par mois selon sa dernière déclaration fiscale et le rendement de sa fortune immobilière. Cela pourrait suffire pour lui permettre de vivre encore confortablement à l'étranger et ne pas le dissuader à prendre la fuite pour se soustraire à l'exécution d'une longue peine privative de liberté. Le recourant n'a au surplus fourni aucune indication sur la situation financière des personnes appelées à se porter caution, qui permettrait d'admettre que la perspective de perdre cette somme agira comme un frein suffisamment puissant pour écarter toute velléité de fuite. Il ressort du recours (chiffre 3.2.3.2) qu'il a fait dont le 2 novembre 2021 de la somme de 500'000 francs à chacun de ses trois enfants, de sorte que le sacrifice lié à la perte de la somme de 200'000 francs que ces derniers se sont engagés à investir comme caution en cas de départ du recourant à l'étranger doit être relativisée. Cela étant, on ne saurait reprocher à la Présidente de la Chambre pénale d'appel et de révision d'avoir versé dans l'arbitraire ou violé d'une autre manière le droit en considérant que la caution proposée à titre de mesure de substitution à la détention n'était pas suffisante pour s'assurer de la présence du recourant aux débats d'appel.</w:t>
      </w:r>
    </w:p>
    <w:p>
      <w:r>
        <w:t>Par ailleurs, le dépôt des papiers d'identité, l'assignation à résidence combinée avec une mesure de surveillance électronique, tout comme l'obligation de se présenter régulièrement à un poste de police, ne sont pas de nature à prévenir un départ à l'étranger, mais uniquement à le constater a posteriori. Ces mesures, qui pouvaient être tenues pour suffisantes au cours de la procédure pénale, ne paraissent désormais pas de nature à pallier le risque élevé que le recourant ne se soustraie par la fuite à l'exécution du solde de la peine privative de liberté encourue qui n'est pas encore proche de celle qui lui permettrait de prétendre à une libération conditionnelle en vertu de l' art. 86 al. 1 CP .</w:t>
      </w:r>
    </w:p>
    <w:p>
      <w:r>
        <w:rPr>
          <w:b/>
        </w:rPr>
        <w:t>E. 4</w:t>
      </w:r>
    </w:p>
    <w:p>
      <w:r>
        <w:t>Le recours doit par conséquent être rejeté aux frais de son auteur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