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1B_427/2017 vom 26. Oktober 2017</w:t>
      </w:r>
    </w:p>
    <w:p>
      <w:r>
        <w:t>Bundesgericht, 2017-10-26, DE</w:t>
      </w:r>
    </w:p>
    <w:p>
      <w:r>
        <w:rPr>
          <w:b/>
        </w:rPr>
        <w:t xml:space="preserve">Quelle: </w:t>
      </w:r>
      <w:r>
        <w:t>https://mcp.opencaselaw.ch/entscheid/bger_1B_427_2017</w:t>
      </w:r>
    </w:p>
    <w:p>
      <w:r>
        <w:t>FR: TF 1B_427/2017 du 26 octobre 2017</w:t>
      </w:r>
    </w:p>
    <w:p>
      <w:r>
        <w:t>IT: TF 1B_427/2017 del 26 ottobre 2017</w:t>
      </w:r>
    </w:p>
    <w:p>
      <w:pPr>
        <w:pStyle w:val="Heading2"/>
      </w:pPr>
      <w:r>
        <w:t>Erwägungen</w:t>
      </w:r>
    </w:p>
    <w:p>
      <w:r>
        <w:rPr>
          <w:b/>
        </w:rPr>
        <w:t>E. 1</w:t>
      </w:r>
    </w:p>
    <w:p>
      <w:r>
        <w:t>A.________ erhob am 29. August 2017 beim Obergericht des Kantons Solothurn eine Beschwerde wegen Rechtsverweigerung und Rechtsverzögerung gegen die Staatsanwaltschaft des Kantons Solothurn und beantragte sinngemäss, die Staatsanwaltschaft sei in der hängigen Strafsache STA.2015.4778 zu verpflichten, die Sache unverzüglich an die Hand zu nehmen und zum Abschluss zu bringen. Bereits am 8. Juni 2017 hatte die Staatsanwaltschaft im Verfahren STA.20154778 eine Einstellungs- und eine Nichtanhandnahmeverfügung erlassen. Die Beschwerdekammer des Obergerichts des Kantons Solothurn trat mit Beschluss vom 25. September 2017 zufolge fehlendem Rechtsschutzinteresses auf die Beschwerde nicht ein und verzichtete auf die Erhebung von Gerichtskosten.</w:t>
      </w:r>
    </w:p>
    <w:p>
      <w:r>
        <w:rPr>
          <w:b/>
        </w:rPr>
        <w:t>E. 2</w:t>
      </w:r>
    </w:p>
    <w:p>
      <w:r>
        <w:t>A.________ führt mit Eingabe vom 30. September 2017 (Postaufgabe 2. Oktober 2017) Beschwerde in Strafsachen gegen den Beschluss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Am angefochtenen Beschluss der Beschwerdekammer wirkten die im Solothurner Staatskalender aufgeführten Mitglieder der Beschwerdekammer mit. Weshalb nun die Beschwerdekammer ihren Beschluss trotzdem in einer "nicht gesetzeskonformen" Besetzung gefasst haben sollte, vermag die Beschwerdeführerin nicht in einer den Anforderungen von Art. 42 Abs. 2 BGG genügenden Weise aufzuzeigen. Ebenfalls unbegründet bzw. den gesetzlichen Begründungsanforderungen nicht entsprechend bleibt der Befangenheitsvorwurf, da der Umstand, dass die Beschwerdekammer wohl bereits in früheren Verfahren gegen die Beschwerdeführerin entschieden hatte, keinen Ausstandsgrund bildet. Im Weiteren setzt sich die Beschwerdeführerin mit der Begründung der Beschwerdekammer, die zum Nichteintreten auf ihre Beschwerde führte, nicht auseinander und legt mit ihren nicht sachbezogenen Ausführungen nicht ansatzweise dar, inwiefern der angefochtene Beschluss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