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1B_427/2013 vom 22. Januar 2014</w:t>
      </w:r>
    </w:p>
    <w:p>
      <w:r>
        <w:t>Bundesgericht, 2014-01-22, FR</w:t>
      </w:r>
    </w:p>
    <w:p>
      <w:r>
        <w:rPr>
          <w:b/>
        </w:rPr>
        <w:t xml:space="preserve">Quelle: </w:t>
      </w:r>
      <w:r>
        <w:t>https://mcp.opencaselaw.ch/entscheid/bger_1B_427_2013</w:t>
      </w:r>
    </w:p>
    <w:p>
      <w:r>
        <w:t>FR: TF 1B_427/2013 du 22 janvier 2014</w:t>
      </w:r>
    </w:p>
    <w:p>
      <w:r>
        <w:t>IT: TF 1B_427/2013 del 22 gennaio 2014</w:t>
      </w:r>
    </w:p>
    <w:p>
      <w:pPr>
        <w:pStyle w:val="Heading2"/>
      </w:pPr>
      <w:r>
        <w:t>Erwägungen</w:t>
      </w:r>
    </w:p>
    <w:p>
      <w:r>
        <w:rPr>
          <w:b/>
        </w:rPr>
        <w:t>E. 1</w:t>
      </w:r>
    </w:p>
    <w:p>
      <w:r>
        <w:t>Conformément à l' art. 393 al. 1 let . c CPP, le recours au sens du CPP n'est ouvert contre les décisions du Tmc que dans les cas prévus par ledit code. Aux termes de l' art. 248 al. 3 let. a CPP , le Tmc statue définitivement sur la demande de levée des scellés au stade de la procédure préliminaire. C'est dès lors à juste titre que la cause a été transmise au Tribunal fédéral.</w:t>
      </w:r>
    </w:p>
    <w:p>
      <w:r>
        <w:rPr>
          <w:b/>
        </w:rPr>
        <w:t>E. 1.1</w:t>
      </w:r>
    </w:p>
    <w:p>
      <w:r>
        <w:t>Le recourant a la qualité de prévenu dans la procédure pénale (art. 81 al. 1 let. b ch. 1 LTF) et de titulaire des documents saisis. A ce titre, la qualité pour recourir doit lui être reconnue.</w:t>
      </w:r>
    </w:p>
    <w:p>
      <w:r>
        <w:rPr>
          <w:b/>
        </w:rPr>
        <w:t>E. 1.2</w:t>
      </w:r>
    </w:p>
    <w:p>
      <w:r>
        <w:t>La décision attaquée est de nature incidente puisqu'elle porte sur l'administration des preuves en procédure pénale. Le recours n'est dès lors recevable qu'aux conditions de l' art. 93 LTF , soit en présence d'un préjudice irréparable; la condition posée à l' art. 93 al. 1 let. b LTF n'entre pas en considération en l'espèce.</w:t>
      </w:r>
    </w:p>
    <w:p>
      <w:r>
        <w:rPr>
          <w:b/>
        </w:rPr>
        <w:t>E. 1.2.1</w:t>
      </w:r>
    </w:p>
    <w:p>
      <w:r>
        <w:t>Dans la procédure de recours en matière pénale, un préjudice irréparable se rapporte à un dommage de nature juridique qui ne puisse pas être réparé ultérieurement par un jugement final ou une autre décision favorable au recourant ( ATF 137 IV 172 consid. 2.1 p. 173). Selon la jurisprudence constante, la décision qui détermine la procédure de tri et désigne un expert n'est en principe pas de nature à causer un dommage irréparable car la question de la levée des scellés et de son ampleur n'est pas encore tranchée et ne le sera qu'ultérieurement (arrêt 1B_19/2013 du 22 février 2013).</w:t>
      </w:r>
    </w:p>
    <w:p>
      <w:r>
        <w:rPr>
          <w:b/>
        </w:rPr>
        <w:t>E. 1.2.2</w:t>
      </w:r>
    </w:p>
    <w:p>
      <w:r>
        <w:t>Le Tmc a estimé qu'en l'état la collaboration du recourant n'était pas nécessaire. Selon le recourant, il en résulterait une atteinte à son droit de participation et un risque que des documents sans rapport avec l'enquête ou couverts par le secret professionnel ne soient sélectionnés. Si la collaboration du recourant n'a pas été jugée nécessaire dans un premier temps (sa position était connue puisqu'il considérait que tous les documents étaient couverts par le secret professionnel), elle n'est toutefois pas définitivement exclue puisque le Tmc réserve la possibilité d'interpeller le recourant si sa collaboration devait s'avérer nécessaire. Le recourant ne saurait dès lors se plaindre d'une atteinte définitive et irréparable à son droit de participer au tri des documents.</w:t>
      </w:r>
    </w:p>
    <w:p>
      <w:r>
        <w:t>Le recourant pourra au demeurant reprendre l'intégralité de son argu-mentation (pertinence des pièces, secret professionnel, garanties de procédure), le cas échéant à l'occasion d'une décision de levée des scellés. A ce stade, il n'y a donc aucun préjudice irréparable.</w:t>
      </w:r>
    </w:p>
    <w:p>
      <w:r>
        <w:rPr>
          <w:b/>
        </w:rPr>
        <w:t>E. 2</w:t>
      </w:r>
    </w:p>
    <w:p>
      <w:r>
        <w:t>Le recours doit dès lors être déclaré irrecevable. Conformément à l' art. 66 al. 1 LTF , les frais judiciaires sont mis à la charge du recourant.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