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1B_426/2017 vom 28. Februar 2018</w:t>
      </w:r>
    </w:p>
    <w:p>
      <w:r>
        <w:t>Bundesgericht, 2018-02-28, FR</w:t>
      </w:r>
    </w:p>
    <w:p>
      <w:r>
        <w:rPr>
          <w:b/>
        </w:rPr>
        <w:t xml:space="preserve">Quelle: </w:t>
      </w:r>
      <w:r>
        <w:t>https://mcp.opencaselaw.ch/entscheid/bger_1B_426_2017</w:t>
      </w:r>
    </w:p>
    <w:p>
      <w:r>
        <w:t>FR: TF 1B_426/2017 du 28 février 2018</w:t>
      </w:r>
    </w:p>
    <w:p>
      <w:r>
        <w:t>IT: TF 1B_426/2017 del 28 febbraio 2018</w:t>
      </w:r>
    </w:p>
    <w:p>
      <w:pPr>
        <w:pStyle w:val="Heading2"/>
      </w:pPr>
      <w:r>
        <w:t>Erwägungen</w:t>
      </w:r>
    </w:p>
    <w:p>
      <w:r>
        <w:rPr>
          <w:b/>
        </w:rPr>
        <w:t>E. 1</w:t>
      </w:r>
    </w:p>
    <w:p>
      <w:r>
        <w:t>L'arrêt attaqué, qui confirme le maintien du séquestre sur des valeurs patrimoniales est une décision rendue en matière pénale au sens de l' art. 78 al. 1 LTF .</w:t>
      </w:r>
    </w:p>
    <w:p>
      <w:r>
        <w:t>En tant que détentrice des valeurs saisies, la recourante peut se prévaloir d'un intérêt juridique à obtenir l'annulation ou la modification de cette décision, de sorte qu'elle dispose de la qualité pour recourir au sens de l' art. 81 al. 1 LTF ( ATF 133 IV 278 consid. 1.3 p. 282 s.; 128 IV 145 consid. 1a p. 148).</w:t>
      </w:r>
    </w:p>
    <w:p>
      <w:r>
        <w:t>Le séquestre pénal est une décision à caractère incident et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w:t>
      </w:r>
    </w:p>
    <w:p>
      <w:r>
        <w:t>Pour le surplus, le recours a été formé en temps utile ( art. 100 al. 1 LTF ) contre une décision rendue en dernière instance cantonale ( art. 80 LTF ) et les conclusions présentées sont recevables au regard de l' art. 107 al. 2 LTF , de sorte qu'il y a lieu d'entrer en matière.</w:t>
      </w:r>
    </w:p>
    <w:p>
      <w:r>
        <w:rPr>
          <w:b/>
        </w:rPr>
        <w:t>E. 2</w:t>
      </w:r>
    </w:p>
    <w:p>
      <w:r>
        <w:t>Dans ses observations, le Ministère public se plaint d'un établissement erroné des faits. S'il entendait contester l'état de fait retenu - qui permet cependant de confirmer sa propre décision de séquestre -, il lui appartenait de recourir en temps utile contre l'arrêt entrepris, ce qu'il n'a pas fait. Par conséquent, il n'y a pas lieu d'en tenir compte.</w:t>
      </w:r>
    </w:p>
    <w:p>
      <w:r>
        <w:t>En tout état de cause, le Tribunal fédéral peut rectifier d'office des erreurs manifestes; tel est le cas du total du montant utilisé selon le décompte du 2 octobre 2008 ( art. 105 al. 2 LTF ).</w:t>
      </w:r>
    </w:p>
    <w:p>
      <w:r>
        <w:rPr>
          <w:b/>
        </w:rPr>
        <w:t>E. 3</w:t>
      </w:r>
    </w:p>
    <w:p>
      <w:r>
        <w:t>Dans le cadre de la présente procédure, il n'est pas contesté que les avoirs de la recourante - entité entièrement contrôlée par B.________ - pourraient, le cas échéant, faire l'objet d'une créance compensatrice ( art. 71 al. 3 CP ; sur cette disposition, cf. ATF 140 IV 57 consid. 4.1.2 p. 62 ss). Une telle mesure à l'encontre d'un tiers est cependant exclue si celui-ci a acquis les valeurs - en l'occurrence, 42'000'000 fr. - dans l'ignorance des faits qui pourraient justifier son prononcé et à condition qu'il ait fourni une contre-prestation adéquate ( art. 71 al. 1 2 ème phrase CP en lien avec l' art. 70 al. 2 CP ).</w:t>
      </w:r>
    </w:p>
    <w:p>
      <w:r>
        <w:t>A ce stade de l'instruction, la bonne foi de B.________ n'est pas remise en cause (sur cette notion, cf. arrêt 1B_22/2017 du 24 mars 2017 consid. 3.1 et l'arrêt cité); il semble ainsi ne pas avoir pu ou dû savoir, au moment de signer la convention du 30 août 2006, que le prix serait payé au débit des comptes de la société et non pas par C.________; cela étant, l'étendue de son implication dans la gestion de D.________ SA et lors des négociations de la revente de ses actions devra encore être éclaircie (cf. consid. 2.5 p. 8 de l'arrêt attaqué). Seule est donc litigieuse devant le Tribunal fédéral la question de la valeur de la contre-prestation assurée.</w:t>
      </w:r>
    </w:p>
    <w:p>
      <w:r>
        <w:t>A cet égard, la recourante reproche à l'autorité précédente d'avoir évalué la valeur nette de la société D.________ SA (5'145'089 fr. 20) sans y ajouter celle découlant du contrat d'entreprise (36'700'000 fr.). Selon la recourante, les immeubles auraient ainsi été vendus pour la somme de 92'277'000 fr. et une fois les hypothèques déduites (18'329'565 fr.), le solde du prix de vente à disposition de D.________ SA aurait été de 73'947'435 fr., respectivement de 69'214'102 fr. 35 si les éléments du décompte du 2 octobre 2008 devraient être retenus; ces montants démontreraient que la valeur de la société aurait été largement supérieure aux 42'000'0000 fr. touchés par B.________.</w:t>
      </w:r>
    </w:p>
    <w:p>
      <w:r>
        <w:rPr>
          <w:b/>
        </w:rPr>
        <w:t>E. 3.1</w:t>
      </w:r>
    </w:p>
    <w:p>
      <w:r>
        <w:t>Dans le cadre de l'examen d'un séquestre conservatoire, l'autorité statue sous l'angle de la vraisemblance, examinant des prétentions encore incertaines. Le séquestre pénal est en effet une mesure conservatoire provisoire destinée à préserver les objets ou valeurs qui peuvent servir de moyens de preuve, que le juge du fond pourrait être amené à confisquer ou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w:t>
      </w:r>
    </w:p>
    <w:p>
      <w:r>
        <w:t>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1B_385/2017 du 30 novembre 2017 consid. 3.1 et l'arrêt cité). Les probabilités d'une confiscation, respectivement du prononcé d'une créance compensatrice, doivent cependant se renforcer au cours de l'instruction ( ATF 122 IV 91 consid. 4 p. 96; arrêt 1B_385/2017 du 30 novembre 2017 consid. 3.1 et l'arrêt cité).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3.2</w:t>
      </w:r>
    </w:p>
    <w:p>
      <w:r>
        <w:t>Selon l' art. 70 al. 2 CP , la confiscation n'est pas prononcée lorsqu'un tiers a acquis les valeurs dans l'ignorance des faits qui l'auraient justifiée, et cela dans la mesure où il a fourni une contre-prestation adéquate ou si la confiscation se révèle d'une rigueur excessive. Une créance compensatrice ne peut être prononcée contre un tiers que dans la mesure où les conditions prévues à l' art. 70 al. 2 CP ne sont pas réalisées ( art. 71 al. 1 2 ème phrase CP).</w:t>
      </w:r>
    </w:p>
    <w:p>
      <w:r>
        <w:t>Selon la jurisprudence, les règles sur la confiscation doivent être appliquées de manière restrictive lorsque des tiers non enrichis sont concernés (arrêt 1B_3/2014 du 5 février 2014 consid. 3.2 publié in RtiD 2014 II 227). L'esprit et le but de la confiscation excluent en effet que la mesure puisse porter préjudice à des valeurs acquises de bonne foi dans le cadre d'un acte juridique conforme à la loi ( ATF 115 IV 175 consid. 2b/bb p. 178 s.).</w:t>
      </w:r>
    </w:p>
    <w:p>
      <w:r>
        <w:t>Les deux conditions posées à l' art. 70 al. 2 CP sont cumulatives. Si elles ne sont pas réalisées, la confiscation peut être prononcée alors même que le tiers a conclu une transaction en soi légitime, mais a été payé avec le produit d'une infraction. Le tiers ne doit pas avoir rendu plus difficile l'identification de l'origine et de la découverte des actifs d'origine criminelle ou leur confiscation. Pour qu'un séquestre puisse être refusé à ce stade de la procédure en application de l' art. 70 al. 2 CP , il faut qu'une confiscation soit d'emblée et indubitablement exclue, respectivement que la bonne foi du tiers soit clairement et définitivement établie. S'agissant en particulier de la seconde condition, soit la contre-prestation, elle doit avoir été fournie avant que le tiers ne reçoive les valeurs d'origine illégale. C'est en tenant compte de toutes les circonstances du cas d'espèce qu'il faut décider si une contre-prestation adéquate existe, sans se limiter à une appréciation de pur droit civil (arrêt 1B_22/2017 du 24 mars 2017 consid. 3.1 et l'arrêt cité). En particulier, elle n'est pas adéquate lorsque les valeurs patrimoniales ont été remises à titre gratuit (arrêts 6B_672/2014 du 22 décembre 2017 consid. 3.2; 1B_71/2014 du 1er juillet 2014 consid. 5.1 et la référence citée).</w:t>
      </w:r>
    </w:p>
    <w:p>
      <w:r>
        <w:rPr>
          <w:b/>
        </w:rPr>
        <w:t>E. 3.3</w:t>
      </w:r>
    </w:p>
    <w:p>
      <w:r>
        <w:t>S'agissant de la valeur de la contre-prestation assurée par B.________, soit pour l'essentiel la cession de ses actions et de sa créance contre la société, la Chambre pénale de recours a relevé que, selon les propres déclarations de l'intéressé, le prix de vente avait été fixé davantage en fonction du montant de ses investissements (allégués de 50'000'000 fr.) augmenté de celui de la dette hypothécaire (18'329'565 fr.) que sur les chiffres résultant du bilan et d'une valeur réelle de l'entreprise. Selon la cour cantonale, une telle conclusion découlait également du fait que, même en tenant compte des avoirs bancaires de D.________ SA (4'192'865 fr.), ainsi que de la valeur de revente des biens immobiliers à H.________ SA (55'577'000 fr.), la société était alors débitrice de montants élevés (29'336'962 fr. en faveur de son actionnaire, 18'329'565 fr. à titre de dette hypothécaire, 2'958'248 fr. 80 fr. vis-à-vis de l'entreprise O.________ et vraisemblablement encore 4'000'000 fr. envers J.________); l'éventuelle valeur du contrat d'entreprise ne pouvait en revanche pas entrer en considération dès lors qu'il avait été conclu ultérieurement à la vente. Les juges cantonaux ont encore considéré que si ces chiffres restaient approximatifs et ne sauraient ainsi déterminer à eux seuls la valeur marchande de la société, il n'en demeurait pas moins qu'il s'en dégageait un montant net de 5'145'089 fr. 20, soit une somme bien en deçà du prix convenu (68'329'565 fr.) et du prix reçu (42'000'000 fr.). La Chambre pénale de recours a ainsi estimé qu'en recevant 42'000'000 fr. pour remettre des actions d'une société valant a priori moins de 10 millions de francs, la contre-prestation de B.________ ne saurait être, sans autres investigations, qualifiée d'adéquate.</w:t>
      </w:r>
    </w:p>
    <w:p>
      <w:r>
        <w:rPr>
          <w:b/>
        </w:rPr>
        <w:t>E. 3.4</w:t>
      </w:r>
    </w:p>
    <w:p>
      <w:r>
        <w:t>Ce raisonnement ne prête pas le flanc à la critique et la recourante ne développe aucun élément propre à le remettre en cause. Tel n'est notamment pas le cas de l'argument tendant à soutenir que la créance d'un actionnaire envers la société constituerait un actif de celle-ci (cf. au demeurant les bilans de la société D.________ SA).</w:t>
      </w:r>
    </w:p>
    <w:p>
      <w:r>
        <w:t>A titre d'argumentation principale, la recourante soutient que le montant du contrat d'entreprise (36'700'000 fr.) devrait être pris en compte pour procéder à l'estimation des immeubles au moment de la reprise de la société. Ce contrat a cependant été conclu ultérieurement (septembre 2006) à la vente de D.________ SA (août 2006). De plus, si peut-être la perspective d'un contrat important peut rendre l'achat d'une entreprise plus intéressante, l'éventuelle plus-value y relative ne saurait cependant correspondre à l'intégralité du montant convenu dans le contrat, en particulier lorsqu'il semble que le prix doive également permettre le paiement d'autres travaux. En tout état de cause, dès lors que la cour cantonale retient finalement une valeur nette de la société se situant entre 5'145'089 fr. 20 et 10'000'000 fr., on ne saurait lui reprocher d'avoir ignoré un éventuel développement de la société; cette constatation découle également de la valeur retenue pour les immeubles, à savoir, non pas celle figurant au bilan de l'année 2005 (51'745'964 fr. 79), mais celle convenue pour leur vente pourtant ultérieure (55'577'000 fr.). C'est aussi à juste titre que la juridiction précédente a pris en compte, lors de ses estimations, la dette de D.________ SA en faveur de J.________ (montant arrondi à 4'000'000 fr.), puisque la société lui devait déjà au 26 septembre 2006 un montant de 3'478'065 fr. 35 (cf. le décompte de l'office des poursuites [pce 10'0082 du dossier cantonal]).</w:t>
      </w:r>
    </w:p>
    <w:p>
      <w:r>
        <w:t>Sous l'angle de la proportionnalité, la recourante ne soutient pas que le montant placé sous séquestre ne respecterait pas ce principe. Elle prétend en revanche que la durée de la procédure justifierait la levée de cette mesure. Si l'instruction a peut-être été ouverte il y a trois ans, le séquestre contesté n'a été ordonné que le 3 mars 2017, n'étant ainsi pas manifeste que sa durée ne serait plus conforme au principe susmentionné. Cela vaut d'ailleurs d'autant plus que la recourante ne développe aucune argumentation tendant à démontrer que le Ministère public aurait été en mesure de l'ordonner antérieurement.</w:t>
      </w:r>
    </w:p>
    <w:p>
      <w:r>
        <w:t>Au regard de l'ensemble de ces considérations, la cour cantonale pouvait, sans violer le droit fédéral, confirmer le séquestre portant sur 9'285'897 fr. 65 des avoirs détenus par la recourante.</w:t>
      </w:r>
    </w:p>
    <w:p>
      <w:r>
        <w:rPr>
          <w:b/>
        </w:rPr>
        <w:t>E. 4</w:t>
      </w:r>
    </w:p>
    <w:p>
      <w:r>
        <w:t>Il s'ensuit que le recours est rejeté.</w:t>
      </w:r>
    </w:p>
    <w:p>
      <w:r>
        <w:t>La recourante, qui succombe, supporte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