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1B_426/2013 vom 10. Dezember 2013</w:t>
      </w:r>
    </w:p>
    <w:p>
      <w:r>
        <w:t>Bundesgericht, 2013-12-10, DE</w:t>
      </w:r>
    </w:p>
    <w:p>
      <w:r>
        <w:rPr>
          <w:b/>
        </w:rPr>
        <w:t xml:space="preserve">Quelle: </w:t>
      </w:r>
      <w:r>
        <w:t>https://mcp.opencaselaw.ch/entscheid/bger_1B_426_2013</w:t>
      </w:r>
    </w:p>
    <w:p>
      <w:r>
        <w:t>FR: TF 1B_426/2013 du 10 décembre 2013</w:t>
      </w:r>
    </w:p>
    <w:p>
      <w:r>
        <w:t>IT: TF 1B_426/2013 del 10 dicembre 2013</w:t>
      </w:r>
    </w:p>
    <w:p>
      <w:pPr>
        <w:pStyle w:val="Heading2"/>
      </w:pPr>
      <w:r>
        <w:t>Erwägungen</w:t>
      </w:r>
    </w:p>
    <w:p>
      <w:r>
        <w:rPr>
          <w:b/>
        </w:rPr>
        <w:t>E. 1</w:t>
      </w:r>
    </w:p>
    <w:p>
      <w:r>
        <w:t>Der angefochtene Entscheid stützt sich auf Art. 231 Abs. 1 i.V.m. Art. 222 und Art. 393 Abs. 1 lit. b StPO (zur Zulässigkeit der StPO-Beschwerde gegen Haftentscheide gestützt auf Art. 231 Abs. 1 StPO vgl. Urteil des Bundesgerichtes 1B_381/2011 vom 5. August 2011 E. 2.2). Die Sachurteilsvoraussetzungen von Art. 78 ff. BGG sind erfüllt und geben zu keinen Bemerkungen Anlass.</w:t>
      </w:r>
    </w:p>
    <w:p>
      <w:r>
        <w:rPr>
          <w:b/>
        </w:rPr>
        <w:t>E. 2</w:t>
      </w:r>
    </w:p>
    <w:p>
      <w:r>
        <w:t>Der Beschwerdeführer bestreitet den besonderen Haftgrund der Fluchtgefahr. Zwar sei er serbischer Staatsangehöriger und habe vor seiner Inhaftierung hin und wieder Reisen in sein Heimatland unternommen. Er lebe jedoch seit Jahrzehnten in der Schweiz, wo er eine Niederlassungsbewilligung habe. Er sei Vater von vier in der Schweiz lebenden Kindern, zu denen er Kontakt pflegen wolle. Mit Ausnahme seines in Serbien lebenden Vaters halte sich seine Kernfamilie in der Schweiz auf. Bei seiner Aussage, dass er (der Beschwerdeführer) möglicherweise nach Kanada oder Australien auswandern würde, habe es sich lediglich um spontane theoretische Gedanken gehandelt für den Fall, dass ihm eines Tages wider Erwarten die Niederlassungsbewilligung in der Schweiz entzogen würde. Aussichten auf eine berufliche Existenz sehe er nur in der Schweiz. Im Verfahren vor der Beschwerdeinstanz habe er eine Bestätigung eingereicht für eine ihm in Aussicht stehende Arbeitsstelle. Sein Antrag auf Haftentlassung sei zumindest gestützt auf geeignete Ersatzmassnahmen (Pass- und Schriftensperre, Kaution) zu bewilligen.</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137 IV 122 E. 6 S. 131 f. ; 135 I 71 E. 2.3 S. 73, E. 2.16 S. 78 f. ; 133 I 270 E. 3.3.1 S. 279).</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Im angefochtenen Entscheid wird der Haftgrund der Fluchtgefahr im Wesentlichen wie folgt begründet: Der Beschwerdeführer habe an der Hauptverhandlung ausgesagt, dass ein grosser Teil seiner Verwandtschaft in Serbien lebe, wohin er gerne auch reise. Für den Fall, dass er aus der Schweiz ausgewiesen würde, habe er schon erwogen, nach Kanada oder Australien auszuwandern. Er lebe zwar seit seinem zwölften Lebensjahr in der Schweiz und sei Vater von vier hier wohnhaften Kindern. Zu den zwei Kindern seiner ehemaligen Lebenspartnerin, der mutmasslich Geschädigten, dürfte ein Kontakt allerdings in nächster Zeit kaum möglich sein. Über sein Verhältnis zu den anderen zwei Kindern sei nichts bekannt. Ein eigentliches Familienleben habe er jedenfalls nie gepflegt; seine Unterhaltspflichten gegenüber seinen Kindern habe er (gemäss einer separaten Verurteilung vom 31. Mai 2011) mehrfach vernachlässigt. Eine feste Beziehung zu einer in der Schweiz lebenden Partnerin führe er nicht. Er habe keinen Beruf gelernt, nur sporadisch gearbeitet und nach eigenen Angaben Fr. 400'000.-- Schulden. Da der Beschwerdeführer vor seiner Verhaftung arbeitslos gewesen sei, erscheine das von ihm eingereichte Stellenangebot einer Firma eher als Gefälligkeitsschreiben. Zudem sei im Falle einer rechtskräftigen Verurteilung seine Niederlassungsbewilligung in Frage gestellt. Im hängigen Berufungsverfahren sei mit der Bestätigung oder gar Verschärfung der erstinstanzlich ausgesprochenen Freiheitsstrafe ernsthaft zu rechnen. Bei gesamthafter Betrachtung erscheine eine Flucht nicht nur als möglich, sondern als wahrscheinlich. Ersatzmassnahmen für Sicherheitshaft könnten die dargelegte Fluchtgefahr nicht ausreichend bannen. Angesichts seiner desolaten finanziellen Verhältnisse könne er eine Kaution nicht selbst bezahlen; der drohende Verfall einer Drittkaution bilde keinen handfesten Beweggrund gegen eine Flucht. Auch eine Schriften- und Passsperre biete keine ausreichende Gewähr, dass sich der Beschwerdeführer dem weiteren Verfahren und dem drohenden Strafvollzug stellt (vgl. angefochtener Entscheid, S. 3 f., E. 2.3-2.4).</w:t>
      </w:r>
    </w:p>
    <w:p>
      <w:r>
        <w:rPr>
          <w:b/>
        </w:rPr>
        <w:t>E. 3.4</w:t>
      </w:r>
    </w:p>
    <w:p>
      <w:r>
        <w:t>Was der Beschwerdeführer dagegen einwendet, lässt den angefochtenen Entscheid nicht als bundesrechtswidrig erscheinen. Er muss im hängigen Berufungsverfahren mit der Ausfällung bzw. Bestätigung einer mehrjährigen Freiheitsstrafe wegen schweren Sexualverbrechen und weiteren Delikten ernsthaft rechnen. Auch bei Anrechnung der bisher erstandenen Untersuchungs- und Sicherheitshaft (von ca. sieben Monaten) begründet der ihm drohende (Rest-) Strafvollzug einen erheblichen Fluchtanreiz. Sodann räumt der Beschwerdeführer ein, dass er Kontakte in sein Heimatland (insbesondere zu seinem Vater) pflegt und sich regelmässig dort aufgehalten hat. Ebenso durften die kantonalen Instanzen mitberücksichtigen, dass er vor seiner Verhaftung in instabilen persönlichen und beruflichen Verhältnissen lebte und hohe Schulden hat. Im vorliegenden Fall bestehen ausreichend konkrete Anhaltspunkte für eine Fluchtgefahr. Auch die Einschätzung der kantonalen Instanzen, der dargelegten Fluchtneigung lasse sich im gegenwärtigen Zeitpunkt mit Ersatzmassnahmen für Haft nicht ausreichend begegnen, hält vor dem Bundesrecht stand.</w:t>
      </w:r>
    </w:p>
    <w:p>
      <w:r>
        <w:rPr>
          <w:b/>
        </w:rPr>
        <w:t>E. 4</w:t>
      </w:r>
    </w:p>
    <w:p>
      <w:r>
        <w:t>Die Beschwerde ist abzuweisen.</w:t>
      </w:r>
    </w:p>
    <w:p>
      <w:r>
        <w:t>Der Beschwerdeführer stellt ein Gesuch um unentgeltliche Rechtspflege. Er ist amtlich verteidigt und befindet sich seit längerer Zeit in strafprozessualer Haft. Seine finanzielle Bedürftigkeit wird ausreichend glaubhaft gemacht. Da auch die übrigen Voraussetzungen von Art. 64 BGG grundsätzlich erfüllt erscheinen, kann dem Gesuch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