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425/2016 vom 14. März 2017</w:t>
      </w:r>
    </w:p>
    <w:p>
      <w:r>
        <w:t>Bundesgericht, 2017-03-14, DE</w:t>
      </w:r>
    </w:p>
    <w:p>
      <w:r>
        <w:rPr>
          <w:b/>
        </w:rPr>
        <w:t xml:space="preserve">Quelle: </w:t>
      </w:r>
      <w:r>
        <w:t>https://mcp.opencaselaw.ch/entscheid/bger_1B_425_2016</w:t>
      </w:r>
    </w:p>
    <w:p>
      <w:r>
        <w:t>FR: TF 1B 425/2016 du 14 mars 2017</w:t>
      </w:r>
    </w:p>
    <w:p>
      <w:r>
        <w:t>IT: TF 1B 425/2016 del 14 marzo 2017</w:t>
      </w:r>
    </w:p>
    <w:p>
      <w:pPr>
        <w:pStyle w:val="Heading2"/>
      </w:pPr>
      <w:r>
        <w:t>Regeste</w:t>
      </w:r>
    </w:p>
    <w:p>
      <w:r>
        <w:t>Strafverfahren; amtliche Verteidigung | Strafprozess</w:t>
      </w:r>
    </w:p>
    <w:p>
      <w:pPr>
        <w:pStyle w:val="Heading2"/>
      </w:pPr>
      <w:r>
        <w:t>Erwägungen</w:t>
      </w:r>
    </w:p>
    <w:p>
      <w:r>
        <w:rPr>
          <w:b/>
        </w:rPr>
        <w:t>E. 1.1</w:t>
      </w:r>
    </w:p>
    <w:p>
      <w:r>
        <w:t>Angefochten ist ein kantonal letztinstanzlicher Entscheid, mit dem das Kantonsgericht die Abweisung des Gesuchs des Beschuldigten um Einsetzung eines amtlichen Verteidigers schützte; dagegen ist die Beschwerde in Strafsachen grundsätzlich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S. 140 f.) bewirken könnte. Das ist bei der Verweigerung der amtlichen Verteidigung der Fall ( BGE 133 IV 335 E. 4 S. 338; Urteil 1B_219/2016 vom 1. September 2016 E. 1; je mit Hinweisen). Der Beschwerdeführer, der im Strafverfahren beschuldigt wird und dessen Gesuch um amtliche Verteidigung abgelehnt wurde, ist zur Beschwerde befugt ( Art. 81 Abs. 1 BGG ). Da auch die übrigen Sachurteilsvoraussetzungen erfüllt sind, ist auf die Beschwerde in Strafsachen vorbehältlich E. 1.2 hiernach einzutreten.</w:t>
      </w:r>
    </w:p>
    <w:p>
      <w:r>
        <w:rPr>
          <w:b/>
        </w:rPr>
        <w:t>E. 1.2</w:t>
      </w:r>
    </w:p>
    <w:p>
      <w:r>
        <w:t>Gegenstand des angefochtenen Beschlusses und damit möglicher Streitgegenstand ist einzig das abgewiesene Gesuch des Beschwerdeführers um Bestellung einer amtlichen Verteidigung. Nicht einzutreten ist auf die Beschwerde, soweit der Beschwerdeführer darüber hinaus Kritik am Entscheid des Kantonsgerichts vom 19. Januar 2016 sowie an der Verfahrensführung durch die Staatsanwaltschaft übt, welche nicht die Frage seiner amtlichen Verteidigung betrifft, namentlich die Kritik an der offenbar nicht gewährten amtlichen Verteidigung der Mitbeschuldigten.</w:t>
      </w:r>
    </w:p>
    <w:p>
      <w:r>
        <w:rPr>
          <w:b/>
        </w:rPr>
        <w:t>E. 1.3</w:t>
      </w:r>
    </w:p>
    <w:p>
      <w:r>
        <w:t>Die Verfassungsbeschwerde ist im Verhältnis zur Beschwerde in Strafsachen subsidiär ( Art. 113 BGG ). Weil vorliegend die Beschwerde in Strafsachen zulässig ist, ist auf die vom Beschwerdeführer gleichzeitig erhobene Verfassungsbeschwerde nicht einzutreten. Soweit er eine Verletzung seiner verfassungsmässigen Rechte in genügender Weise rügt, ist darauf im Rahmen der von ihm erhobenen Beschwerde in Strafsachen einzugehen.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3.1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3.2</w:t>
      </w:r>
    </w:p>
    <w:p>
      <w:r>
        <w:t>Die Vorinstanz ging im angefochtenen Beschluss davon aus, dass es sich nicht um einen Fall von notwendiger Verteidigung im Sinne von Art. 130 StPO handelt. Soweit der Beschwerdeführer in seiner Beschwerde dennoch von notwendiger Verteidigung spricht, scheint er die Begrifflichkeiten zu vermischen. Jedenfalls legt er nicht dar, weshalb es sich im Gegensatz zur Ansicht der Vorinstanz um einen Fall von notwendiger Verteidigung im Sinne von Art. 130 StPO handeln sollte. Dies ist auch nicht ersichtlich. Nachfolgend zu prüfen ist, ob dem Beschwerdeführer für das Strafverfahren in Anwendung von Art. 132 Abs. 1 lit. b und Abs. 2 StPO ein amtlicher Verteidiger zu bestellen ist.</w:t>
      </w:r>
    </w:p>
    <w:p>
      <w:r>
        <w:rPr>
          <w:b/>
        </w:rPr>
        <w:t>E. 4</w:t>
      </w:r>
    </w:p>
    <w:p>
      <w:r>
        <w:t>Vorliegend ist unbestritten, dass eine Verteidigung zur Wahrung der Interessen des Beschwerdeführers geboten ist. Streitig ist, ob der Beschwerdeführer - wie die Vorinstanz annimmt - selbst über die erforderlichen Mittel verfügt.</w:t>
      </w:r>
    </w:p>
    <w:p>
      <w:r>
        <w:rPr>
          <w:b/>
        </w:rPr>
        <w:t>E. 4.1</w:t>
      </w:r>
    </w:p>
    <w:p>
      <w:r>
        <w:t>Nach der Rechtsprechung des Bundesgerichts zu Art. 29 Abs. 3 BV , die auch für die Auslegung von Art. 132 Abs. 1 lit. b StPO zu berücksichtigen ist, gilt eine Person dann als bedürftig,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141 III 369 E. 4.1 S. 371 ; 135 I 221 E. 5.1 S. 223 ; 128 I 225 E. 2.5.1 S. 232). Dazu gehören nicht nur die Einkommens-, sondern auch die Vermögensverhältnisse ( BGE 124 I 97 E. 3b S. 98 mit Hinweisen). Zu diesem Zweck sind neben den Einkommens- und Vermögensverhältnissen auch die finanziellen Verpflichtungen des Rechtssuchenden zu berücksichtigen. Letztere sind aber nur dann auf der Bedarfsseite zu veranschlagen, wenn sie effektiv geleistet werden ( BGE 135 I 221 E. 5.1 S. 223 f.). Verfallene Schulden sind zu berücksichtigen, soweit sie effektiv abbezahlt werden (vgl. BGE 135 I 221 E. 5.2 S. 224 ff.).</w:t>
      </w:r>
    </w:p>
    <w:p>
      <w:r>
        <w:rPr>
          <w:b/>
        </w:rPr>
        <w:t>E. 4.2</w:t>
      </w:r>
    </w:p>
    <w:p>
      <w:r>
        <w:t>Der Beschwerdeführer beanstandet in tatsächlicher Hinsicht, dass die beträchtlichen Schulden der Eheleute von der Vorinstanz gänzlich unberücksichtigt geblieben seien. Dies trifft nicht zu. Die Vorinstanz hat bei der Berechnung der Bedürftigkeit die belegten Auslagen der Eheleute für die Abbezahlung der Schulden miteinbezogen und somit die vom Beschwerdeführer geltend gemachten Schulden mitberücksichtigt. Falls es sich diesbezüglich nicht ohnehin um unzulässige neue Vorbringen im Sinne von Art. 99 Abs. 1 BGG handelt, ergibt sich auch aus dem vom Beschwerdeführer eingereichten Betreibungsregisterauszug nichts anderes. Soweit der Beschwerdeführer die Rüge, die Vorinstanz habe den entscheidwesentlichen Sachverhalt offensichtlich unrichtig und in Verletzung von Art. 29 Abs. 2 BV festgestellt, überhaupt in genügender Weise begründet hat, vermag er damit nicht durchzudringen.</w:t>
      </w:r>
    </w:p>
    <w:p>
      <w:r>
        <w:rPr>
          <w:b/>
        </w:rPr>
        <w:t>E. 4.3</w:t>
      </w:r>
    </w:p>
    <w:p>
      <w:r>
        <w:t>Der Beschwerdeführer rügt ferner, dass die Verhältnisse der Ehefrau des Beschwerdeführers zur Beurteilung der Bedürftigkeit nicht herangezogen werden dürften. Die Pflicht des Staats, der bedürftigen Partei die unentgeltliche Rechtspflege zu gewähren, geht der Beistands- und Beitragspflicht aus Familienrecht nach ( BGE 138 III 672 E. 4.2.1 S. 674 ; 127 I 202 E. 3b S. 205; je mit Hinweisen; Urteil 1B_389/2015 vom 7. Januar 2016 E. 5.3). Die Mittel unterstützungspflichtiger Personen, insbesondere jene des Ehegatten, sind - vorbehältlich besonderer, hier nicht gegebener Konstellationen - auch im Strafverfahren zu berücksichtigen (vgl. Urteil 1B_389/2015 vom 7. Januar 2016 E. 5.3 sowie E. 6).</w:t>
      </w:r>
    </w:p>
    <w:p>
      <w:r>
        <w:rPr>
          <w:b/>
        </w:rPr>
        <w:t>E. 5</w:t>
      </w:r>
    </w:p>
    <w:p>
      <w:r>
        <w:t>Die Beschwerde in Strafsachen erweist sich als offensichtlich unbegründet. Sie ist im Verfahren nach Art. 109 BGG abzuweisen, soweit darauf einzutreten ist. Bei diesem Ausgang des Verfahrens wird der Beschwerdeführer kostenpflichtig (vgl. Art. 66 Abs. 1 BGG ). Das Gesuch um unentgeltliche Rechtspflege inklusive unentgeltliche Verbeiständung im Verfahren vor Bundesgericht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