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1B_423/2011 vom 14. September 2011</w:t>
      </w:r>
    </w:p>
    <w:p>
      <w:r>
        <w:t>Bundesgericht, 2011-09-14, DE</w:t>
      </w:r>
    </w:p>
    <w:p>
      <w:r>
        <w:rPr>
          <w:b/>
        </w:rPr>
        <w:t xml:space="preserve">Quelle: </w:t>
      </w:r>
      <w:r>
        <w:t>https://mcp.opencaselaw.ch/entscheid/bger_1B_423_2011</w:t>
      </w:r>
    </w:p>
    <w:p>
      <w:r>
        <w:t>FR: TF 1B_423/2011 du 14 septembre 2011</w:t>
      </w:r>
    </w:p>
    <w:p>
      <w:r>
        <w:t>IT: TF 1B_423/2011 del 14 settembre 2011</w:t>
      </w:r>
    </w:p>
    <w:p>
      <w:pPr>
        <w:pStyle w:val="Heading2"/>
      </w:pPr>
      <w:r>
        <w:t>Erwägungen</w:t>
      </w:r>
    </w:p>
    <w:p>
      <w:r>
        <w:rPr>
          <w:b/>
        </w:rPr>
        <w:t>E. 1.1</w:t>
      </w:r>
    </w:p>
    <w:p>
      <w:r>
        <w:t>Der Beschluss vom 21. Juni 2011, mit welchem das Obergericht die Abweisung des Haftentlassungsgesuchs des Beschwerdeführers bestätigt hat, ist ein letztinstanzlicher kantonaler Entscheid in einer Strafsache, gegen den gemäss Art. 78 ff. BGG grundsätzlich die Beschwerde in Strafsachen offen steht. Nach Art. 93 Abs. 1 lit. a BGG ist die Beschwerde gegen den selbstständig eröffneten Zwischenentscheid zulässig, da die Fortsetzung der Sicherheitshaft einen nicht wieder gutzumachenden Nachteil bewirken kann (vgl. Urteil 1B_277/2011 vom 28. Juni 2011 E. 1.1). Der Beschwerdeführer ist nach Art. 81 Abs. 1 BGG beschwerdebefugt, zumal er sich nach wie vor in Sicherheitshaft befindet und deshalb ein aktuelles Interesse an der Behandlung der Beschwerde hat. Da auch die übrigen Sachurteilsvoraussetzungen erfüllt sind, ist auf die Beschwerde unter Vorbehalt der nachfolgenden Erwägungen einzutreten.</w:t>
      </w:r>
    </w:p>
    <w:p>
      <w:r>
        <w:rPr>
          <w:b/>
        </w:rPr>
        <w:t>E. 1.2</w:t>
      </w:r>
    </w:p>
    <w:p>
      <w:r>
        <w:t>Nicht einzutreten ist auf den Antrag des Beschwerdeführers, der Beschluss des Bezirksgerichts vom 27. Mai 2011 sei aufzuheben. Dieser Entscheid ist durch den Entscheid der Vorinstanz ersetzt worden (Devolutiveffekt) und gilt als inhaltlich mitangefochten (vgl. BGE 134 II 142 E. 1.4 S. 144 mit Hinweis).</w:t>
      </w:r>
    </w:p>
    <w:p>
      <w:r>
        <w:rPr>
          <w:b/>
        </w:rPr>
        <w:t>E. 1.3</w:t>
      </w:r>
    </w:p>
    <w:p>
      <w:r>
        <w:t>Nicht einzutreten ist sodann auf die Anträge des Beschwerdeführers, ein psychiatrisches Gutachten sei als nicht verwendbar zu erklären und die Staatsanwaltschaft sei anzuweisen, auf ein Schreiben vom 15. November 2010 zu reagieren bzw. entsprechende Untersuchungshandlungen zu veranlassen. Hierbei handelt es sich um ausserhalb des Streitgegenstands liegende, unzulässige neue Begehren im Sinne von Art. 99 Abs. 2 BGG . Aus dem gleichen Grund nicht einzutreten ist auf den Eventualantrag des Beschwerdeführers, wonach ihm der (vorzeitige) Antritt einer ambulanten Massnahme oder einer stationäre Therapie zu ermöglichen sei. Ein entsprechendes Gesuch wäre an die zuständigen kantonalen Behörden zu richten.</w:t>
      </w:r>
    </w:p>
    <w:p>
      <w:r>
        <w:rPr>
          <w:b/>
        </w:rPr>
        <w:t>E. 1.4</w:t>
      </w:r>
    </w:p>
    <w:p>
      <w:r>
        <w:t>Soweit sich die Beschwerde sodann gegen die vom Bezirksgericht verfügte und von der Vorinstanz bestätigte einmonatige Sperrfrist richtet, innert welcher der Beschwerdeführer kein neues Haftentlassungsgesuch stellen dürfe, ist darauf mangels einer entsprechenden Begründung in der Beschwerdeschrift in Anwendung von Art. 42 Abs. 2 BGG ebenfalls nicht einzutreten.</w:t>
      </w:r>
    </w:p>
    <w:p>
      <w:r>
        <w:rPr>
          <w:b/>
        </w:rPr>
        <w:t>E. 2</w:t>
      </w:r>
    </w:p>
    <w:p>
      <w:r>
        <w:t>Der angefochtene Entscheid betrifft die Fortsetzung der Sicherheitshaft und damit eine Zwangsmassnahme im Sinne von Art. 196 ff. StPO .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(vgl. zur Publikation bestimmtes Urteil 1B_277/2011 vom 28. Juni 2011 E. 1.2 mit Hinweisen).</w:t>
      </w:r>
    </w:p>
    <w:p>
      <w:r>
        <w:rPr>
          <w:b/>
        </w:rPr>
        <w:t>E. 3</w:t>
      </w:r>
    </w:p>
    <w:p>
      <w:r>
        <w:t>Der Beschwerdeführer macht geltend, die Vorinstanz sei in keiner Weise auf seine Anträge eingegangen, sondern habe einfach die Ausführungen der Staatsanwaltschaft sowie des Bezirksgerichts wiederholt, obwohl er mehrfach ein fehlerhaftes Gutachten erwähnt habe und auf inhaltliche Fehler bzw. falsche Interpretationen und falsche Anschuldigungen aufmerksam gemacht habe. In diesen Vorbringen könnte die sinngemässe Rüge einer Verletzung des Anspruchs auf rechtliches Gehör bzw. einer formellen Rechtsverweigerung ( Art. 29 Abs. 1 und 2 BV ) erblickt werden. Damit vermag der Beschwerdeführer allerdings nicht durchzudringen. Die Vorinstanz hat den vom Beschwerdeführer gestellten Antrag behandelt und ist in genügender Weise auf seine Vorbringen eingegangen, soweit diese überhaupt mit dem Verfahrensgegenstand, nämlich dem abgewiesenen Haftentlassungsgesuch, im Zusammenhang standen.</w:t>
      </w:r>
    </w:p>
    <w:p>
      <w:r>
        <w:rPr>
          <w:b/>
        </w:rPr>
        <w:t>E. 4</w:t>
      </w:r>
    </w:p>
    <w:p>
      <w:r>
        <w:t>Nach Art. 221 Abs. 1 StPO sind Untersuchungs- und Sicherheitshaft nur zulässig, wenn die beschuldigte Person eines Verbrechens oder Vergehens dringend verdächtig ist und ausserdem ein besonderer Haftgrund im Sinne von Art. 221 Abs. 1 lit. a-c StPO vorliegt. Ausserdem ist Haft zulässig, wenn ernsthaft zu befürchten ist, eine Person werde ihre Drohung, ein schweres Verbrechen auszuführen, wahrmachen ( Art. 221 Abs. 2 StPO ).</w:t>
      </w:r>
    </w:p>
    <w:p>
      <w:r>
        <w:t>Angesichts der Verurteilung des Beschwerdeführers durch das Bezirksgericht u.a. wegen sexueller Handlungen mit einem Kind, mehrfacher Pornografie, mehrfachen Verabreichens gesundheitsgefährdender Stoffe an Kinder und mehrfachen Vergehens gegen das Betäubungsmittelgesetz besteht zweifelsohne ein dringender Tatverdacht im Sinne von Art. 221 Abs. 1 StPO . Der Beschwerdeführer bestreitet indessen das Vorliegen eines besonderen Haftgrunds im Sinne von Art. 221 Abs. 1 lit. a-c StPO .</w:t>
      </w:r>
    </w:p>
    <w:p>
      <w:r>
        <w:rPr>
          <w:b/>
        </w:rPr>
        <w:t>E. 5</w:t>
      </w:r>
    </w:p>
    <w:p>
      <w:r>
        <w:t>Der besondere Haftgrund der Wiederholungsgefahr ist nach Art. 221 Abs. 1 lit. c StPO gegeben, wenn ernsthaft zu befürchten ist, dass die beschuldigte Person durch schwere Verbrechen oder Vergehen die Sicherheit anderer erheblich gefährdet, nachdem sie bereits früher gleichartige Straftaten verübt hat.</w:t>
      </w:r>
    </w:p>
    <w:p>
      <w:r>
        <w:rPr>
          <w:b/>
        </w:rPr>
        <w:t>E. 5.1</w:t>
      </w:r>
    </w:p>
    <w:p>
      <w:r>
        <w:t>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Bei der Annahme, dass ein Beschuldigter weitere schwere Delikte begehen könnte, ist indessen Zurückhaltung geboten. Im Hinblick auf das Verhältnismässigkeitsprinzip ist die Aufrechterhaltung von strafprozessualer Haft wegen Wiederholungsgefahr nach der bundesgerichtlichen Praxis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 BGE 137 IV 13 E. 2.4-4 S. 17 ff. ; 135 I 71 E. 2.3 S. 73; je mit Hinweisen).</w:t>
      </w:r>
    </w:p>
    <w:p>
      <w:r>
        <w:rPr>
          <w:b/>
        </w:rPr>
        <w:t>E. 5.2</w:t>
      </w:r>
    </w:p>
    <w:p>
      <w:r>
        <w:t>Der Beschwerdeführer ist einschlägig vorbestraft und hat demzufolge bereits früher gleichartige, schwere Straftaten verübt. In einem anlässlich der Strafuntersuchung erstellten psychiatrischen Gutachten vom 17. Juni 2010 wurden bei ihm verschiedene schwerwiegende Persönlichkeitsstörungen diagnostiziert. Es wurde eine ungünstige Legalprognose gestellt. Bezüglich sexueller Handlungen mit Kindern sei mit einer gesamthaft deutlichen Rückfallgefahr zu rechnen. Auch bei Verstössen gegen das Betäubungsmittelgesetz sei die Rückfallgefahr deutlich. Der Gutachter empfahl die Anordnung einer stationären Massnahme nach Art. 59 StGB .</w:t>
      </w:r>
    </w:p>
    <w:p>
      <w:r>
        <w:t>Der Beschwerdeführer kritisiert mehrfach das erwähnte Gutachten. Dessen Würdigung ist indessen in erster Linie Aufgabe des Sach- bzw. Berufungsgerichts, dessen Entscheid im Haftprüfungsverfahren nicht vorzugreifen ist. Im vorliegenden Verfahren ist jedenfalls festzuhalten, dass die Rückfallprognose für den Beschwerdeführer sehr ungünstig ausfällt. Dies ergibt sich insbesondere daraus, dass er einschlägig vorbestraft ist und sich nicht von der Begehung weiterer schwerer Delikte abhalten liess. Die im Falle einer Haftentlassung zu befürchtenden Verbrechen oder Vergehen sind schwerer Natur und gefährden die Sicherheit anderer erheblich. Damit ist der besondere Haftgrund der Wiederholungsgefahr im Sinne von Art. 221 Abs. 1 lit. c StPO gegeben. An dieser Einschätzung ändert auch der Einwand des Beschwerdeführers nichts, er habe genügend Zeit gehabt, sich Gedanken über das Geschehene zu machen und es sei ihm durch das ganze Verfahren bewusst geworden, dass er Kontakte zu unter 18-jährigen Jugendlichen besser bleiben lasse.</w:t>
      </w:r>
    </w:p>
    <w:p>
      <w:r>
        <w:rPr>
          <w:b/>
        </w:rPr>
        <w:t>E. 6</w:t>
      </w:r>
    </w:p>
    <w:p>
      <w:r>
        <w:t>Nach dem Gesagten kann offen bleiben, ob neben der Wiederholungsgefahr auch der besondere Haftgrund der Kollusionsgefahr ( Art. 221 Abs. 1 lit. b StPO ) erfüllt wäre. Die Beschwerde erweist sich als unbegründet und ist abzuweisen, soweit darauf einzutreten ist. Bei diesem Ausgang des Verfahrens trägt der Beschwerdeführer die Gerichtskosten (vgl. Art. 66 Abs. 1 BGG ). Dem Gesuch des Beschwerdeführers um unentgeltliche Rechtspflege kann entsprochen werden (vgl. Art. 64 BGG ). Es werden deshalb keine Kosten erhoben. Ein Anwaltshonorar ist nicht auszurichten, da der Beschwerdeführer nicht anwaltlich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