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1B_421/2012 vom 19. Juni 2013</w:t>
      </w:r>
    </w:p>
    <w:p>
      <w:r>
        <w:t>Bundesgericht, 2013-06-19, FR</w:t>
      </w:r>
    </w:p>
    <w:p>
      <w:r>
        <w:rPr>
          <w:b/>
        </w:rPr>
        <w:t xml:space="preserve">Quelle: </w:t>
      </w:r>
      <w:r>
        <w:t>https://mcp.opencaselaw.ch/entscheid/bger_1B_421_2012</w:t>
      </w:r>
    </w:p>
    <w:p>
      <w:r>
        <w:t>FR: TF 1B_421/2012 du 19 juin 2013</w:t>
      </w:r>
    </w:p>
    <w:p>
      <w:r>
        <w:t>IT: TF 1B_421/2012 del 19 giugno 2013</w:t>
      </w:r>
    </w:p>
    <w:p>
      <w:pPr>
        <w:pStyle w:val="Heading2"/>
      </w:pPr>
      <w:r>
        <w:t>Erwägungen</w:t>
      </w:r>
    </w:p>
    <w:p>
      <w:r>
        <w:rPr>
          <w:b/>
        </w:rPr>
        <w:t>E. 1</w:t>
      </w:r>
    </w:p>
    <w:p>
      <w:r>
        <w:t>L'arrêt attaqué, qui confirme la suspension d'une procédure pénale, est une décision rendue en matière pénale au sens de l' art. 78 al. 1 LTF . Il émane d'une autorité cantonale de dernière instance ( art. 80 al. 1 LTF ).</w:t>
      </w:r>
    </w:p>
    <w:p>
      <w:r>
        <w:rPr>
          <w:b/>
        </w:rPr>
        <w:t>E. 1.1</w:t>
      </w:r>
    </w:p>
    <w:p>
      <w:r>
        <w:t>Aux termes de l'art. 81 al. 1 let. b ch. 5 LTF, la qualité pour recourir au Tribunal fédéral est reconnue à la partie plaignante si et dans la mesure où la décision attaquée peut avoir des effets sur le jugement de ses prétentions civiles. Le recourant a en l'occurrence déjà fait valoir des prétentions civiles devant une juridiction prud'hommale. Il n'explique certes pas clairement en quoi le sort de sa plainte pénale pourrait influer sur ses prétentions civiles, mais il fait aussi valoir que la suspension de la procédure pénale violerait le principe de célérité. La conduite de la procédure pénale sans retard injustifié est non seulement dans l'intérêt de l'Etat, mais également dans l'intérêt du justiciable. Par conséquent, il y a lieu de considérer cette garantie comme un droit procédural reconnu aux parties à la procédure, dont la partie plaignante est habilitée à faire valoir la violation ( ATF 135 III 127 consid. 1.3 p. 129; 134 IV 43 consid. 2.2-2.5; arrêt 1B_721/2011 du 7 mars 2012)</w:t>
      </w:r>
    </w:p>
    <w:p>
      <w:r>
        <w:rPr>
          <w:b/>
        </w:rPr>
        <w:t>E. 1.2</w:t>
      </w:r>
    </w:p>
    <w:p>
      <w:r>
        <w:t>L'arrêt attaqué, qui confirme la suspension de la procédure pénale, ne met pas fin à la procédure. Il s'agit d'une décision incidente qui n'entre pas dans le champ d'application de l' art. 92 LTF . Le recourant ne fait toutefois pas seulement valoir que les conditions posées par le CPP pour ordonner la suspension de la procédure pénale ne seraient pas réunies, mais ils soutient également que cette mesure violerait le principe de célérité consacré à l' art. 29 al. 1 Cst. Le recours en matière pénale est en pareil cas immédiatement recevable ( ATF 135 III 127 consid. 1.3 p. 129; 134 IV 43 consid. 2.2-2.5).</w:t>
      </w:r>
    </w:p>
    <w:p>
      <w:r>
        <w:rPr>
          <w:b/>
        </w:rPr>
        <w:t>E. 1.3</w:t>
      </w:r>
    </w:p>
    <w:p>
      <w:r>
        <w:t>En réplique, le recourant prend une série de conclusions (annulation d'une poursuite et indemnisation pour poursuite abusive) qui n'ont rien à voir avec l'objet du litige, lequel est limité à la décision attaquée. Ces conclusions, nouvelles, sont irrecevables ( art. 99 al. 2 LTF ).</w:t>
      </w:r>
    </w:p>
    <w:p>
      <w:r>
        <w:t>Sous cette dernière réserve, il y a lieu d'entrer en matière.</w:t>
      </w:r>
    </w:p>
    <w:p>
      <w:r>
        <w:rPr>
          <w:b/>
        </w:rPr>
        <w:t>E. 2</w:t>
      </w:r>
    </w:p>
    <w:p>
      <w:r>
        <w:t>Le recourant estime que l'objet des procédures civile et pénale ne se recoupent que très partiellement, de sorte qu'une suspension ne se justifierait pas. Il y aurait en outre un risque de prescription de l'action pénale en ce qui concerne les délits contre l'honneur. Le recourant invoque enfin le principe de célérité.</w:t>
      </w:r>
    </w:p>
    <w:p>
      <w:r>
        <w:rPr>
          <w:b/>
        </w:rPr>
        <w:t>E. 2.1</w:t>
      </w:r>
    </w:p>
    <w:p>
      <w:r>
        <w:t>A teneur de l' art. 314 al. 1 let. b CPP , le Ministère public peut suspendre une instruction, notamment lorsque l'issue de la procédure pénale dépend d'un autre procès dont il paraît indiqué d'attendre la fin.</w:t>
      </w:r>
    </w:p>
    <w:p>
      <w:r>
        <w:t>Cette disposition est potestative et les motifs de suspension ne sont pas exhaustifs. Le ministère public dispose dès lors d'un certain pouvoir d'appréciation lui permettant de choisir la mesure la plus opportune. La suspension de la procédure pénale au motif qu'un autre procès est pendant ne se justifie toutefois que si le résultat de l'autre procédure peut véritablement jouer un rôle pour le résultat de la procédure pénale suspendue et que s'il simplifiera de manière significative l'administration des preuves dans cette même procédure ( Pierre Cornu, in Commentaire romand CPP, n° 13 ad art. 314; arrêt 1B_721/2011 du 7 mars 2012 consid. 3.1).</w:t>
      </w:r>
    </w:p>
    <w:p>
      <w:r>
        <w:rPr>
          <w:b/>
        </w:rPr>
        <w:t>E. 2.2</w:t>
      </w:r>
    </w:p>
    <w:p>
      <w:r>
        <w:t>En l'espèce, la juridiction civile n'a certes pas à se prononcer directement sur les accusations relevant de la calomnie, de l'escroquerie ou du faux dans les titres. Elle sera toutefois appelée à juger du bien fondé des créances respectives, soit d'une part les prétentions du recourant en paiement du salaire et, d'autre part, les prétentions des intimés en relations avec les malversations dont ceux-ci se plaignent. Le juge civil devra ainsi procéder à l'établissement de faits (existence de malversations, véracité des déclarations des intimés, exactitude des écritures présentées) dont l'utilité au pénal est manifeste. Les conditions de l' art. 314 al. 1 let. b CPP sont dès lors réalisées.</w:t>
      </w:r>
    </w:p>
    <w:p>
      <w:r>
        <w:rPr>
          <w:b/>
        </w:rPr>
        <w:t>E. 2.3</w:t>
      </w:r>
    </w:p>
    <w:p>
      <w:r>
        <w:t>Le recourant invoque par ailleurs le risque de prescription - notamment pour les délits contre l'honneur -, ainsi que le principe de célérité. Il estime que la durée de la procédure civile serait impossible à évaluer, compte tenu de la complexité des faits et des prétentions.</w:t>
      </w:r>
    </w:p>
    <w:p>
      <w:r>
        <w:t>Le principe de la célérité qui découle de l' art. 29 al. 1 Cst. et, en matière pénale, de l' art. 5 CPP , pose des limites à la suspension d'une procédure. Ce principe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(arrêt 1B_721/2011 du 7 mars 2012, consid. 3.2).</w:t>
      </w:r>
    </w:p>
    <w:p>
      <w:r>
        <w:t>La décision de suspension repose, comme on l'a vu, sur des motifs objectifs suffisants. Au moment du prononcé de l'arrêt attaqué, la procédure prud'hommale était déjà, selon la cour cantonale, "bien entamée" puisque la réponse écrite à la demande avait déjà été déposée, de sorte que l'instruction - notamment les auditions de témoins - allait commencer. Rien ne permet de redouter que la procédure civile ne puisse se poursuivre et s'achever dans des délais raisonnables. Si un risque de prescription devait exister pour certains délits, le Procureur pourrait alors être amené à reprendre la procédure pénale. Quant au risque d'intimidation de témoins en procédure civile, il ne s'agit que de spéculations de la part du recourant.</w:t>
      </w:r>
    </w:p>
    <w:p>
      <w:r>
        <w:rPr>
          <w:b/>
        </w:rPr>
        <w:t>E. 3</w:t>
      </w:r>
    </w:p>
    <w:p>
      <w:r>
        <w:t>Sur le vu de ce qui précède, le recours doit être rejeté, dans la mesure où il est recevable. Le recourant a demandé l'assistance judiciaire; les explications fournies sur ce point paraissent suffisantes pour donner suite à cette demande. Le recourant ayant procédé sans l'aide d'un mandataire professionnel, l'assistance judiciaire se limitera à une dispense des frais judiciaires. En revanche, le recourant qui succombe est tenu de verser une indemnité à titre de dépens aux intimés, lesquels obtiennent gain de cause avec l'assistance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