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1B_420/2020 vom 28. Oktober 2020</w:t>
      </w:r>
    </w:p>
    <w:p>
      <w:r>
        <w:t>Bundesgericht, 2020-10-28, FR</w:t>
      </w:r>
    </w:p>
    <w:p>
      <w:r>
        <w:rPr>
          <w:b/>
        </w:rPr>
        <w:t xml:space="preserve">Quelle: </w:t>
      </w:r>
      <w:r>
        <w:t>https://mcp.opencaselaw.ch/entscheid/bger_1B_420_2020</w:t>
      </w:r>
    </w:p>
    <w:p>
      <w:r>
        <w:t>FR: TF 1B_420/2020 du 28 octobre 2020</w:t>
      </w:r>
    </w:p>
    <w:p>
      <w:r>
        <w:t>IT: TF 1B_420/2020 del 28 ottobre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qui a formulé la demande de récusation, a qualité pour recourir ( art. 81 al. 1 LTF ). Pour le surplus, le recours a été interjeté en temps utile ( art. 100 al. 1 LTF ) contre une décision rendue par une autorité cantonale statuant en tant qu'instance unique (art. 80 al. 2 in fine LTF) et les conclusions prises sont recevables ( art. 107 LTF ). Il y a donc lieu d'entrer en matière.</w:t>
      </w:r>
    </w:p>
    <w:p>
      <w:r>
        <w:rPr>
          <w:b/>
        </w:rPr>
        <w:t>E. 2</w:t>
      </w:r>
    </w:p>
    <w:p>
      <w:r>
        <w:t>Le recourant se plaint d'une constatation manifestement inexacte des faits.</w:t>
      </w:r>
    </w:p>
    <w:p>
      <w:r>
        <w:rPr>
          <w:b/>
        </w:rPr>
        <w:t>E. 2.1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sans s'en tenir à des critiques appellatoires.</w:t>
      </w:r>
    </w:p>
    <w:p>
      <w:r>
        <w:t>Par ailleurs, aucun fait nouveau, ni preuve nouvelle ne peut être présenté à moins de résulter de la décision de l'autorité précédente ( art. 99 al. 1 LTF ).</w:t>
      </w:r>
    </w:p>
    <w:p>
      <w:r>
        <w:rPr>
          <w:b/>
        </w:rPr>
        <w:t>E. 2.2</w:t>
      </w:r>
    </w:p>
    <w:p>
      <w:r>
        <w:t>Dans la première partie de son écriture, le recourant expose plusieurs faits qui ne ressortent pas de l'arrêt entrepris, notamment que le magistrat intimé aurait été un proche collaborateur du Procureur général lorsqu'ils étaient tous deux avocats et que le Procureur général l'aurait fait venir au ministère public genevois; le recourant produit à cet effet un article de presse paru le 16 novembre 2016, lequel ne figure pas au dossier. Le recourant ne prétend pas qu'il aurait allégué ces faits - au demeurant contestés par le magistrat intimé - en procédure cantonale, ni qu'il aurait été dans l'impossibilité de les invoquer dans sa demande de récusation du 18 mai 2020. Il s'agit donc de faits nouveaux qui ne peuvent pas être pris en considération par le Tribunal fédéral ( art. 99 al. 1 LTF ). Contrairement à ce que soutient le recourant, il ne s'agit pas de faits notoires. Les griefs qui se fondent sur ces faits nouveaux et cette pièce nouvelle sont également irrecevables.</w:t>
      </w:r>
    </w:p>
    <w:p>
      <w:r>
        <w:t>Le recourant expose ensuite toute une série d'éléments de fait, mêlés de considérations juridiques (cf. art. 79 LOJ, art. 4 du règlement cantonal du Ministère public du 20 mai 2014 [E 2 05.40]), censés démontrer le lien de dépendance structurelle et professionnelle entre les deux magistrats, lien que la cour cantonale aurait arbitrairement omis de prendre en compte. Contrairement à ce que soutient le recourant, et comme exposé ci-après (cf. consid. 3.2 ci-dessous), ces éléments invoqués tardivement ne sont pas susceptibles d'influer sur le sort de la cause. Il n'y a dès lors pas lieu de compléter l'état de fait de l'arrêt attaqué.</w:t>
      </w:r>
    </w:p>
    <w:p>
      <w:r>
        <w:rPr>
          <w:b/>
        </w:rPr>
        <w:t>E. 3</w:t>
      </w:r>
    </w:p>
    <w:p>
      <w:r>
        <w:t>Invoquant une violation des art. 56 CPP , 30 Cst. et 6 CEDH, le recourant soutient que le Premier Procureur ne serait pas apte à faire preuve d'indépendance dans l'instruction de sa plainte dirigée à l'encontre d'officiers de police agissant sur instruction du Procureur général et pouvant déboucher sur la mise en cause de ce dernier. Le procureur intimé serait d'autant moins indépendant qu'il instruirait conjointement avec le Procureur général les poursuites dirigées contre le Conseiller d'État B.________; le recourant fait valoir un lien entre les poursuites pénales contre le Conseiller d'État et sa plainte puisqu'il y dénonce pénalement le sergent-chef qui aurait notamment lors des interrogatoires exercé des pressions répétées pour qu'il donne des informations sur les agissements de B.________.</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Selon la jurisprudence, les seuls liens professionnels ou collégiaux entre deux personnes ne suffisent pas, en l'absence d'autres indices de partialité, à fonder une obligation de récusation ( ATF 139 I 121 consid. 5.3 p. 126; 133 I 1 consid. 6.4 p. 7; arrêts 1B_587/2019 du 21 janvier 2020 consid. 3.2; 6B_851/2018 du 7 décembre 2018 consid. 4.2.2).</w:t>
      </w:r>
    </w:p>
    <w:p>
      <w:r>
        <w:t>Par ailleurs, conformément à l' art. 58 al. 1 CPP , la récusation doit être demandée sans délai, dès que la partie a connaissance du motif de récusation, c'est-à-dire dans les six ou sept jours qui suivent la connaissance de la cause de récusation (arrêt 1B_36/2020 du 8 mai 2020 consid. 2.2 et les arrêts cités), sous peine de déchéance ( ATF 140 I 271 consid. 8.4.3 p. 275).</w:t>
      </w:r>
    </w:p>
    <w:p>
      <w:r>
        <w:rPr>
          <w:b/>
        </w:rPr>
        <w:t>E. 3.2</w:t>
      </w:r>
    </w:p>
    <w:p>
      <w:r>
        <w:t>Le recourant remet en cause l'indépendance du Premier procureur Stéphane Grodecki pour instruire sa plainte du 5 mars 2020 dirigée à l'encontre d'officiers de police agissant sur instruction du Procureur général et pouvant déboucher sur une mise en cause de ce dernier magistrat; il invoque à cet égard des liens de dépendance structurelle, professionnelle et personnelle à l'égard du Procureur général. A l'appui de sa critique, le recourant se prévaut d'une étude du 21 février 2014 du Centre suisse de compétence pour les droits humains (CSDH) intitulée " La protection juridique contre les abus de la part de la police ", laquelle examine la question de l'indépendance des enquêtes pénales contre des membres de la police. Sur la base de cette étude, le recourant affirme qu'afin d'assurer l'indépendance des enquêtes pénales pouvant viser comme en l'espèce un membre du ministère public, il conviendrait de nommer un procureur extraordinaire hors du canton. Le recourant invoque sur ce point une lacune de la législation genevoise, lacune que le projet de loi modifiant la loi d'application du code pénal suisse et d'autres lois fédérales en matière pénale (PL 12715) devrait combler en tant qu'il prévoit la désignation d'un procureur extraordinaire hors du canton s'agissant des procédures pénales ouvertes contre des personnalités publiques.</w:t>
      </w:r>
    </w:p>
    <w:p>
      <w:r>
        <w:t>Conformément à la jurisprudence, si la partie connaît un motif de récusation concernant le membre d'une autorité elle doit l'invoquer sans tarder, peu importe qu'elle ignore si la personne en question sera appelée à statuer (cf. ATF 139 III 120 consid. 3.2.1 p. 124 s'agissant des juges; arrêt 6B_851/2018 du 7 décembre 2018 consid. 4.1.3 s'agissant des procureurs). En l'occurrence, lorsqu'il a transmis sa plainte pénale du 5 mars 2020 au Procureur général, le recourant savait que sa plainte serait traitée par un membre du ministère public genevois. Il devait donc faire valoir à ce moment son motif de récusation à l'encontre de l'ensemble des procureurs genevois, même si le recourant ignorait qui traiterait finalement le dossier, et demander, le cas échéant, la désignation d'un procureur extraordinaire (cf. arrêt 6B_851/2018 du 7 décembre 2018 consid. 4.1.3 qui concernait un cas de figure analogue). En attendant plus de 2 mois pour invoquer ses motifs de récusation tenant aux liens structurels et professionnels entre le procureur intimé et le Procureur général, le recourant a agi tardivement. Son droit d'invoquer ce moyen est périmé.</w:t>
      </w:r>
    </w:p>
    <w:p>
      <w:r>
        <w:t>Le recourant ne prétend pas non plus qu'il ignorait au moment de déposer sa plainte du 8 mars 2020 que l'instruction pénale contre le Conseiller d'État B.________ était menée conjointement depuis de nombreux mois par Olivier Jornot et deux de ses Premiers procureurs, Yves Bertossa et Stéphane Grodecki. Il est dès lors douteux que sa demande soit recevable sur ce point. Quoi qu'il en soit, on ne discerne pas en quoi le fait que le Premier procureur Stéphane Grodecki instruirait également l'enquête pénale dirigée à l'encontre de B.________ l'empêcherait d'instruire la plainte pénale du recourant dans le respect des exigences liées à sa fonction. Le recourant ne conteste en l'occurrence pas que le magistrat intimé n'instruisait pas la procédure [x] pour violation du secret de fonction dirigée à son encontre dans laquelle les prétendus ordres d'obtenir de lui des informations sur le prévenu B.________ auraient été donnés et sur lesquels il s'agirait d'enquêter. Le recourant ne prétend pas non plus que le procureur intimé serait intervenu de quel que manière que ce soit dans la procédure [x], laquelle vise au demeurant essentiellement les agissements des policiers. Enfin, l'instance précédente pouvait également sans arbitraire relever que le recourant n'avait pas jugé bon de formuler ce même grief contre le Procureur général lorsqu'il lui avait adressé sa plainte pénale et qu'il s'était ensuite enquis, le 13 mai 2020, de l'avancement de cette procédure. L'instance précédente pouvait dès lors à juste titre considérer qu'il n'y avait pas motif à récusation.</w:t>
      </w:r>
    </w:p>
    <w:p>
      <w:r>
        <w:rPr>
          <w:b/>
        </w:rPr>
        <w:t>E. 4</w:t>
      </w:r>
    </w:p>
    <w:p>
      <w:r>
        <w:t>Il s'ensuit que le recours doit être rejeté, aux frais du recourant qui succombe ( art. 65 et 66 al. 1 LTF ). Il n'y a pas lieu d'allouer de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