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1B_420/2018 vom 8. Oktober 2018</w:t>
      </w:r>
    </w:p>
    <w:p>
      <w:r>
        <w:t>Bundesgericht, 2018-10-08, FR</w:t>
      </w:r>
    </w:p>
    <w:p>
      <w:r>
        <w:rPr>
          <w:b/>
        </w:rPr>
        <w:t xml:space="preserve">Quelle: </w:t>
      </w:r>
      <w:r>
        <w:t>https://mcp.opencaselaw.ch/entscheid/bger_1B_420_2018</w:t>
      </w:r>
    </w:p>
    <w:p>
      <w:r>
        <w:t>FR: TF 1B_420/2018 du 8 octobre 2018</w:t>
      </w:r>
    </w:p>
    <w:p>
      <w:r>
        <w:t>IT: TF 1B_420/2018 del 8 ottobre 2018</w:t>
      </w:r>
    </w:p>
    <w:p>
      <w:pPr>
        <w:pStyle w:val="Heading2"/>
      </w:pPr>
      <w:r>
        <w:t>Erwägungen</w:t>
      </w:r>
    </w:p>
    <w:p>
      <w:r>
        <w:rPr>
          <w:b/>
        </w:rPr>
        <w:t>E. 1</w:t>
      </w:r>
    </w:p>
    <w:p>
      <w:r>
        <w:t>Le recours en matière pénale ( art. 78 al. 1 LTF ) est ouvert contre une décision relative à la détention provisoire au sens des art. 212 ss CPP . Le recourant, prévenu détenu, dispose d'un intérêt actuel et pratique à la vérification des conditions ayant conduit à la confirmation du rejet de sa demande de remise en liberté, respectivement à la prolongation de cette mesure (cf. art. 81 al. 1 let. a et b ch. 1 LTF). Un prononcé ordonnant le maintien en détention est une décision incidente susceptible de causer un préjudice irréparable au sens de l' art. 93 al. 1 let. a LTF (arrêt 1B_398/2018 du 14 septembre 2018 consid. 1). Le recours a en outre été déposé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reproche tout d'abord à l'autorité précédente d'avoir retenu l'existence de charges suffisantes pesant à son encontre.</w:t>
      </w:r>
    </w:p>
    <w:p>
      <w:r>
        <w:rPr>
          <w:b/>
        </w:rPr>
        <w:t>E. 2.1</w:t>
      </w:r>
    </w:p>
    <w:p>
      <w:r>
        <w:t>Une mesure de détention provisoire n'est compatible avec la liberté personnelle garantie aux art. 10 al. 2 Cst. et 5 CEDH que si elle repose sur une base légale ( art. 31 al. 1 et art. 36 al. 1 Cst. ), soit en l'espèce les art. 212 et 220 ss CPP . Elle doit en outre correspondre à un intérêt public et respecter le principe de la proportionnalité ( art. 36 al. 2 et 3 Cst. , 212 al. 2 et 3 CPP). Pour que tel soit le cas, la privation de liberté doit être justifiée par un risque de fuite,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1B_208/2018 du 28 mai 2018 consid. 4.1).</w:t>
      </w:r>
    </w:p>
    <w:p>
      <w:r>
        <w:rPr>
          <w:b/>
        </w:rPr>
        <w:t>E. 2.2</w:t>
      </w:r>
    </w:p>
    <w:p>
      <w:r>
        <w:t>La cour cantonale a relevé que la gravité et la suffisance des charges avaient été constatées par le Tmc dans son ordonnance de placement en détention du 16 novembre 2017 (constatations de police, éléments issus de la surveillance téléphonique, déclarations de l'intéressé relatives aux faits [accueil, aide à l'hébergement et sur un plan logistique, ainsi que transport avant et après les faits (cf. ad B/b/i p. 3 de l'arrêt attaqué)]); ces soupçons avaient été rappelés dans les décisions subséquentes du Tmc (cf. ad B/b/ii, B/b/iii et B/b/iv p. 4 s. du jugement entrepris) et confirmés dans son propre arrêt du 6 juin 2018 (cf. ad B/b/v p. 5 de l'arrêt attaqué). L'autorité précédente a ensuite considéré que ces charges se seraient renforcées vu les résultats de la surveillance téléphonique dont le prévenu avait été l'objet et dont il avait été informé le 2 juillet 2018; à la suite de ces mesures, les individus S1, S2, S3 et S4 avaient été identifiés et il semblait en ressortir que le recourant pourrait être impliqué comme un participant principal et non accessoire comme il le soutenait. La juridiction cantonale a enfin relevé que le Ministère public avait requis une extension de la décision d'extradition pour les faits en lien avec les deux procédures jointes en juin 2018.</w:t>
      </w:r>
    </w:p>
    <w:p>
      <w:r>
        <w:t>Ce raisonnement ne prête pas le flanc à la critique. C'est le lieu tout d'abord de rappeler qu'il est admissible pour l'autorité judiciaire de renvoyer, à titre de motivation, à de précédentes décisions lorsque l'instruction n'a pas évolué de manière déterminante depuis lors ( ATF 123 I 31 consid. 2c p. 34; arrêts 1B_362/2017 du 25 septembre 2017 consid. 3.4.1; 1B_247/2015 du 4 août 2015 consid. 2 et les arrêts cités); le recourant ne remet d'ailleurs pas ce procédé en cause. Il lui appartenait en conséquence de développer une argumentation permettant de démontrer que, dans l'intervalle, les charges existant déjà à son encontre se seraient amoindries, ce qu'il ne fait pas; dans ce contexte, se référer à de précédentes écritures sans indiquer leur contenu ne suffit pas ( ATF 144 V 173 consid. 3.2.2 p. 178; 140 III 115 consid. 2 p. 116). Cela vaut d'autant plus en l'occurrence que les observations dont se prévaut le recourant sont pour la plupart antérieures à l'arrêt du 6 juin 2018 auquel a fait principalement référence la juridiction précédente (cf. l'écriture du 6 juin 2018 "reprenant" celles du 28 avril et celle du 5 mai 2018 [ad VI/A p. 5 de son mémoire]). Le recourant omet également de discuter les nouveaux éléments retenus par la cour cantonale, à savoir qu'il pourrait avoir eu un rôle plus important lors des événements du 15 au 16 août 2017 que celui envisagé a priori jusqu'alors. Le recourant reconnaît enfin avoir "accepté de prendre en charge les présumés auteurs du brigandage lors de leur arrivée à Genève le 13 août 2017 tout en leur prêtant, par la suite, son véhicule" (cf. ad IV p. 4 de son mémoire), de sorte qu'il n'apparaît pas arbitraire de la part des autorités en matière de détention de considérer que le recourant aurait reconnu partiellement les faits sur ces points (aide et transport).</w:t>
      </w:r>
    </w:p>
    <w:p>
      <w:r>
        <w:t>Au regard de l'ensemble de ces considérations, la cour cantonale n'a pas violé le droit fédéral en retenant l'existence de charges suffisantes et ce grief - dans la mesure où la motivation y relative serait recevable eu égard aux exigences posées à l' art. 42 al. 2 LTF ( ATF 140 III 115 consid. 2 p. 116; 136 I 65 consid. 1.3.1 p. 68; arrêt 1B_413/2018 du 14 septembre 2018 consid. 3) - peut être écarté.</w:t>
      </w:r>
    </w:p>
    <w:p>
      <w:r>
        <w:rPr>
          <w:b/>
        </w:rPr>
        <w:t>E. 3</w:t>
      </w:r>
    </w:p>
    <w:p>
      <w:r>
        <w:t>Le recourant conteste péremptoirement l'existence des risques de fuite et de collusion (cf. p. 6 de son mémoire). Il ne développe toutefois aucune argumentation à cet égard, ne mentionnant de plus le danger de réitération, pourtant également retenu par la cour cantonale (cf. consid. 3 p. 12 de l'arrêt attaqué), que dans ses déterminations du 3 octobre 2018. Partant, de tels griefs sont irrecevables ( art. 42 al. 2 LTF ).</w:t>
      </w:r>
    </w:p>
    <w:p>
      <w:r>
        <w:t>Le recourant soutient en revanche qu'il existerait des mesures de substitution permettant de pallier les dangers retenus.</w:t>
      </w:r>
    </w:p>
    <w:p>
      <w:r>
        <w:rPr>
          <w:b/>
        </w:rPr>
        <w:t>E. 3.1</w:t>
      </w:r>
    </w:p>
    <w:p>
      <w:r>
        <w:t>Conformément au principe de la proportionnalité ancré à l' art. 36 al. 3 Cst. , le juge de la détention doit en effet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Le juge de la détention n'est en particulier pas limité par la liste énoncée à l' art. 237 al. 2 CPP et peut également, le cas échéant, assortir la/les mesure (s) de substitution de toute condition propre à en garantir l'efficacité ( ATF 142 IV 367 consid. 2.1 p. 370). A cet égard, l'exécution des peines privatives de liberté découlant de précédentes condamnations est en principe compatible avec le but de la détention provisoire, tout particulièrement lorsqu'il s'agit de prévenir des dangers de fuite ou de réitération ( ATF 142 IV 367 consid. 2.2 p. 370 s.).</w:t>
      </w:r>
    </w:p>
    <w:p>
      <w:r>
        <w:t>En l'occurrence, le recourant se prévaut avant tout, à titre de mesure de substitution, d'une condamnation prononcée en juillet 2016 à une peine privative de liberté en Valais. Sous l'angle des risques de fuite et de réitération, cette mesure pourrait en effet être adéquate. Cette question peut cependant demeurer indécise, puisque la cour cantonale a également retenu l'existence d'un danger de collusion. Le recourant ne développe aucune argumentation tendant à expliquer en quoi l'exécution de la peine en Valais permettrait de réduire ce risque eu égard à l'instruction en cours à Genève. Une telle conclusion ne s'impose pas non plus d'emblée puisque le régime en exécution de peine est généralement plus souple que celui prévalant en détention provisoire. Or, au regard de l'identification des dénommés S1, S2, S3 et S4, il se justifie en l'état de privilégier les besoins de l'enquête, notamment afin d'éviter tout contact avec les quatre individus susmentionnés qui pourrait interférer avec les mesures prises par les polices française et suisse afin de les interpeller. Ce motif peut encore être retenu dans le cas d'espèce puisque les identités ne paraissent connues que depuis avril 2018, mais il ne saurait justifier l'existence d'un risque de collusion, sous cet angle et sans autre indication, à long terme, sauf à violer le principe de proportionnalité.</w:t>
      </w:r>
    </w:p>
    <w:p>
      <w:r>
        <w:t>Peu importe dès lors de savoir si la renonciation du 18 juillet 2018 du recourant à invoquer le principe de spécialité permettrait en l'occurrence son transfert en Valais afin d'exécuter sa précédente condamnation indépendamment de l'accord préalable de l'État ayant accordé l'extradition en novembre 2017 et/ou de la procédure d'extension de cette décision actuellement en cours. Les conditions permettant, le cas échéant, de renoncer au consentement de la Partie qui l'a livré ne paraissent au demeurant pas remplies, puisque le recourant, détenu, n'a notamment pas été élargi définitivement à ce jour (cf. art. 14 par. 1 let. a et b la Convention européenne d'extradition du 13 décembre 1957 [RS 0.353.1]; ATF 135 IV 212 consid. 2.1 p. 214).</w:t>
      </w:r>
    </w:p>
    <w:p>
      <w:r>
        <w:t>Faute de mesures de substitution propres à réduire notamment le risque de collusion, la cour cantonale pouvait, à juste titre, confirmer le maintien en détention provisoire.</w:t>
      </w:r>
    </w:p>
    <w:p>
      <w:r>
        <w:rPr>
          <w:b/>
        </w:rPr>
        <w:t>E. 3.2</w:t>
      </w:r>
    </w:p>
    <w:p>
      <w:r>
        <w:t>Le recourant soutient encore en substance que la durée de la détention provisoire subie violerait le principe de proportionnalité. Selon ses affirmations, il n'y aurait en effet aucune garantie qu'il soit condamné pour l'ensemble de ces infractions ou même pour une partie d'entre elles.</w:t>
      </w:r>
    </w:p>
    <w:p>
      <w:r>
        <w:t>Eu égard au principe de présomption d'innocence, une telle issue ne saurait être d'emblée exclue, en particulier lorsque le prévenu conteste les faits qui lui sont reprochés. Cela étant, le recourant omet de prendre en considération que le juge de la détention ne procède pas à une pesée complète des intérêts tant à charge qu'à décharge, mais examine uniquement l'existence de soupçons sérieux de la commission d'une ou plusieurs infractions. Or, tel est le cas en l'occurrence puisque des éléments de procédure et les déclarations du recourant paraissent le mettre en cause (cf. consid. 2.2 ci-dessus) et que les autres conditions posées à l' art. 221 al. 1 CPP sont remplies (cf. consid. 3.1 ci-dessus). Le placement ou le maintien en détention avant jugement ne viole donc pas, sous cet angle, le principe de proportionnalité et ce grief peut être écarté. Le recourant pourra au demeurant faire valoir l'ensemble de ses moyens devant le juge du fond.</w:t>
      </w:r>
    </w:p>
    <w:p>
      <w:r>
        <w:t>Eu égard aux chefs de prévention retenus et de la peine concrètement encourue, la durée de la détention provisoire subie - environ onze mois selon le recourant - ne viole pas non plus le principe de proportionnalité.</w:t>
      </w:r>
    </w:p>
    <w:p>
      <w:r>
        <w:rPr>
          <w:b/>
        </w:rPr>
        <w:t>E. 3.3</w:t>
      </w:r>
    </w:p>
    <w:p>
      <w:r>
        <w:t>Au regard de l'ensemble des considérations qui précèdent, la cour cantonale n'a pas violé le droit fédéral en confirmant le maintien en détention provisoire du recourant.</w:t>
      </w:r>
    </w:p>
    <w:p>
      <w:r>
        <w:rPr>
          <w:b/>
        </w:rPr>
        <w:t>E. 4</w:t>
      </w:r>
    </w:p>
    <w:p>
      <w:r>
        <w:t>Il s'ensuit que le recours est rejeté dans la mesure où il est recevable.</w:t>
      </w:r>
    </w:p>
    <w:p>
      <w:r>
        <w:t>Le recourant a demandé l'octroi de l'assistance judiciaire ( art. 64 al. 1 LTF ). Eu égard aux exigences en matière de motivation, celui-ci était cependant dénué d'emblée de chance de succès et cette requête doit être rejetée. Le recourant, qui succombe, supporte dès lors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