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1B_419/2018 vom 14. Dezember 2018</w:t>
      </w:r>
    </w:p>
    <w:p>
      <w:r>
        <w:t>Bundesgericht, 2018-12-14, FR</w:t>
      </w:r>
    </w:p>
    <w:p>
      <w:r>
        <w:rPr>
          <w:b/>
        </w:rPr>
        <w:t xml:space="preserve">Quelle: </w:t>
      </w:r>
      <w:r>
        <w:t>https://mcp.opencaselaw.ch/entscheid/bger_1B_419_2018</w:t>
      </w:r>
    </w:p>
    <w:p>
      <w:r>
        <w:t>FR: TF 1B_419/2018 du 14 décembre 2018</w:t>
      </w:r>
    </w:p>
    <w:p>
      <w:r>
        <w:t>IT: TF 1B_419/2018 del 14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Ministère public de la Confédération (MPC) instruit une enquête notamment contre B.________ - ex-mari de A.________ - pour escroquerie, gestion déloyale, faux dans les titres, blanchiment d'argent, gestion déloyale des intérêts publics et corruption d'agents publics étrangers (cause www).</w:t>
      </w:r>
    </w:p>
    <w:p>
      <w:r>
        <w:t>Dans ce cadre, les avoirs dont A.________ serait la titulaire ou l'ayant droit économique détenus auprès de la banque C.________ AG, à Zurich, ont été séquestrés par décision du 17 juin 2016 (comptes xxx de A.________, yyy de la fondation D.________ et zzz de la fondation E.________). A la suite de la requête formée par la susmentionnée afin d'obtenir la levée de ces mesures, le MPC a confirmé leur maintien par ordonnance du 21 août 2017.</w:t>
      </w:r>
    </w:p>
    <w:p>
      <w:r>
        <w:t>Le 8 août 2018, le Tribunal pénal fédéral a rejeté le recours formé par A.________ contre cette décision. Il a estimé que le recours ayant été intenté uniquement par la précitée, les conclusions et griefs en lien avec les comptes détenus par les fondations D.________ et E.________ - dont A.________ était uniquement l'ayant droit - étaient irrecevables (consid. 1.3). La Cour des plaintes a ensuite considéré que la décision du MPC respectait les exigences de forme, notamment en matière de motivation que ce soit tant vis-à-vis de l'ordonnance attaquée (21 août 2017) que des éventuels griefs formés contre la décision antérieure (17 juin 2016 [cf. consid. 2.2]). Elle a retenu qu'il existait des soupçons suffisants de la commission d'infractions en particulier avec les fonds placés sous séquestre, à savoir en substance le détournement de fonds publics obtenus via de faux contrats d'investissement, puis le transfert d'une partie de ces fonds en faveur d'une société dont A.________ était l'ayant droit économique, respectivement ensuite sur son propre compte et sur ceux détenus par la fondation D.________ et de la fondation E.________ (cf. consid. 3.3). Selon le Tribunal pénal fédéral, aucun élément au dossier ne permettait de retenir à ce stade de la procédure l'état de nécessité - notamment financier - allégué par A.________ (consid. 3.4). La Cour des plaintes a enfin relevé l'absence de contre-prestation équivalente qui ne permettait ainsi pas de retenir la bonne foi de A.________; cette dernière semblait de plus s'être versée à elle-même les fonds de provenance illicite via le compte de sa société et les aurait ensuite répartis sur les comptes des fondations (consid. 4.2).</w:t>
      </w:r>
    </w:p>
    <w:p>
      <w:r>
        <w:t>Par acte du 10 septembre 2018, A.________ forme un recours en matière pénale contre cet arrêt, concluant à la levée du séquestre portant sur les comptes xxx, yyy et zzz; à titre subsidiaire, elle demande la levée de cette mesure uniquement pour les deux derniers, soit ceux des fondations D.________ et E.________. Le MPC et l'autorité précédente ont renoncé à déposer des déterminations.</w:t>
      </w:r>
    </w:p>
    <w:p>
      <w:r>
        <w:rPr>
          <w:b/>
        </w:rPr>
        <w:t>E. 2</w:t>
      </w:r>
    </w:p>
    <w:p>
      <w:r>
        <w:t>Conformément à l' art. 54 al. 1 LTF , le présent arrêt sera rendu en français, langue de l'arrêt attaqué, même si le recours a été libellé en allemand, comme l'autorise l' art. 42 al. 1 LTF .</w:t>
      </w:r>
    </w:p>
    <w:p>
      <w:r>
        <w:rPr>
          <w:b/>
        </w:rPr>
        <w:t>E. 3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143 II 283 consid. 1.2.2 p. 286; 140 III 86 consid. 2 p. 88 ss et 115 consid. 2 p. 116 s.).</w:t>
      </w:r>
    </w:p>
    <w:p>
      <w:r>
        <w:t>En l'occurrence, la recourante, agissant par le biais d'un mandataire professionnel, reprend mot à mot l'argumentation présentée devant le Tribunal pénal fédéral, ce qui est contraire aux exigences susmentionnées ( ATF 134 II 244 consid. 2.3 p. 246 s.). Partant, son recours doit être déclaré irrecevable.</w:t>
      </w:r>
    </w:p>
    <w:p>
      <w:r>
        <w:t>La recourante, qui succombe, supporte les frais judiciaires ( art. 66 al. 1 LTF ). Il n'y a pas lieu d'allouer de dépens ( art. 68 al.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