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1B_419/2011 vom 13. September 2011</w:t>
      </w:r>
    </w:p>
    <w:p>
      <w:r>
        <w:t>Bundesgericht, 2011-09-13, FR</w:t>
      </w:r>
    </w:p>
    <w:p>
      <w:r>
        <w:rPr>
          <w:b/>
        </w:rPr>
        <w:t xml:space="preserve">Quelle: </w:t>
      </w:r>
      <w:r>
        <w:t>https://mcp.opencaselaw.ch/entscheid/bger_1B_419_2011</w:t>
      </w:r>
    </w:p>
    <w:p>
      <w:r>
        <w:t>FR: TF 1B_419/2011 du 13 septembre 2011</w:t>
      </w:r>
    </w:p>
    <w:p>
      <w:r>
        <w:t>IT: TF 1B_419/2011 del 13 settembre 2011</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La recourante invoque une violation du principe de célérité. Elle se plaint de l'inactivité des autorités durant plus d'un an, à savoir entre la fin de l'instruction le 17 novembre 2010 et l'audience de jugement prévue à partir du 21 novembre 2011.</w:t>
      </w:r>
    </w:p>
    <w:p>
      <w:r>
        <w:rPr>
          <w:b/>
        </w:rPr>
        <w:t>E. 2.1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t>Après la clôture de l'instruction, le prévenu doit en principe être renvoyé devant le juge du fond dans un délai qui, pour être conforme aux exigences des art. 10 Cst. , 5 CPP et 5 par. 3 CEDH, ne devrait pas excéder quelques semaines, voire quelques mois (arrêt 1P.540/2002 du 4 novembre 2002 consid. 4.3). Ainsi, en l'absence de circonstances particulières, un délai de sept mois, uniquement justifié par la surcharge de l'autorité de jugement, est incompatible avec le principe de célérité (arrêt 1P.750/1999 du 23 décembre 1999 consid. 2d/ee). Un délai de plusieurs mois peut se révéler nécessaire dans des procès particulièrement complexes, aux multiples ramifications, impliquant plusieurs inculpés et nécessitant une préparation méticuleuse des débats et de nombreux actes d'instruction; ainsi, on peut tolérer un délai de six mois entre la mise en accusation et l'ouverture des débats s'agissant d'une affaire de criminalité économique à grande échelle revêtant une complexité particulière et impliquant plusieurs intervenants (arrêt 1B_295/2007 du 22 janvier 2008 consid. 2.3) ou un délai de quatre mois et demi dans une affaire relativement complexe (arrêt 1B_115/2008 du 6 juin 2008 consid. 4.2). Dans une affaire d'une ampleur exceptionnelle, impliquant en outre des mesures de sécurité importantes durant les débats, un délai d'environ huit mois a été considéré comme tout juste compatible avec le principe de célérité (arrêt 1B_95/2008 du 14 mai 2008 consid. 5.4, non publié dans l' ATF 134 IV 237 et confirmé par l'arrêt CourEDH Shabani contre Suisse du 5 novembre 2009, § 65).</w:t>
      </w:r>
    </w:p>
    <w:p>
      <w:r>
        <w:rPr>
          <w:b/>
        </w:rPr>
        <w:t>E. 2.2</w:t>
      </w:r>
    </w:p>
    <w:p>
      <w:r>
        <w:t>En l'espèce, il se sera écoulé environ huit mois entre le renvoi en jugement du 17 mars 2011 et l'audience de jugement prévue le 21 novembre 2011. L'instruction a certes porté sur un important trafic international de stupéfiants et cinq prévenus sont renvoyés en jugement. La présente cause ne revêt pas pour autant une ampleur exceptionnelle qui justifierait un délai de huit mois entre l'ordonnance de renvoi et l'audience de jugement. Une telle période d'inactivité est clairement contraire au principe de la célérité tel qu'il est défini dans la jurisprudence susmentionnée, la détention provisoire de la prévenue exigeant en outre une diligence particulière.</w:t>
      </w:r>
    </w:p>
    <w:p>
      <w:r>
        <w:t>La Cour cantonale reconnaît d'ailleurs que le délai de huit mois entre l'ordonnance de renvoi et l'audience de jugement n'est "pas acceptable", mais elle estime qu'il faut tenir compte du fait que la recourante ne s'en est plainte que le 16 juillet 2011, ce qui ne serait pas conforme au principe de la bonne foi. La recourante allègue qu'elle n'a eu connaissance de la date de l'audience qu'à la lecture de la demande de prolongation de détention du 14 juillet 2011; on comprend donc qu'elle n'a pas jugé utile de se plaindre d'une violation du principe de célérité avant la mi-juillet. Cela étant, l'attitude de la recourante n'est pas un élément pertinent pour apprécier le respect du principe de célérité par les autorités de poursuite pénale. Celles-ci sont en effet responsables du bon déroulement de la procédure et ne sauraient compter sur l'intervention des parties pour faire preuve de la diligence requise. La recourante ne pourrait se voir opposer un comportement de mauvaise foi que si elle avait usé de manoeuvres malhonnêtes ou dilatoires, ce qui n'est aucunement le cas en l'espèce. C'est dès lors à tort que la Cour de justice a mis en avant la passivité de la recourante jusqu'à la mi-juillet 2011 pour faire fi de la violation du principe de célérité. Il y a donc lieu de constater que ce principe a été violé.</w:t>
      </w:r>
    </w:p>
    <w:p>
      <w:r>
        <w:rPr>
          <w:b/>
        </w:rPr>
        <w:t>E. 2.3</w:t>
      </w:r>
    </w:p>
    <w:p>
      <w:r>
        <w:t>La violation du principe de la célérité n'entraîne cependant pas la libération immédiate de la recourante, dans la mesure où la détention demeure justifiée par des risques de fuite et de récidive, qui ne sont pas contestés. De plus, la durée de la détention apparaît encore proportionnée, au vu de la gravité des infractions qui sont reprochées à l'intéressée et de la peine privative de liberté à laquelle elle s'expose. L'appréciation d'ensemble du caractère raisonnable de la procédure devra être faite par le juge du fond qui pourra tenir compte de la violation du principe de la célérité dans la fixation de la peine (cf. ATF 128 I 149 consid. 2.2 p. 151 s.; 124 I 139 consid. 2c p. 141). De plus, à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ATF 137 IV 118 consid. 2.2 n fine p. 121 s. et les références citées).</w:t>
      </w:r>
    </w:p>
    <w:p>
      <w:r>
        <w:rPr>
          <w:b/>
        </w:rPr>
        <w:t>E. 3</w:t>
      </w:r>
    </w:p>
    <w:p>
      <w:r>
        <w:t>Le recours doit par conséquent être admis partiellement et le dispositif de l'arrêt attaqué modifié en ce sens que la violation du principe de célérité est constatée, le recours cantonal étant partiellement admis sur ce point et l'Etat de Genève supportant les frais judiciaires ainsi qu'une indemnité allouée à la recourante à titre de dépens. La demande de mise en liberté doit en revanche être rejetée. La recourante, qui obtient largement gain de cause avec l'assistance d'un avocat, a droit à des dépens, à la charge de l'Etat de Genève, pour la présente procédure devant le Tribunal fédéral ( art. 68 al. 1 et 2 LTF ). Dans ces conditions, sa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