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1B_417/2018 vom 12. September 2018</w:t>
      </w:r>
    </w:p>
    <w:p>
      <w:r>
        <w:t>Bundesgericht, 2018-09-12, DE</w:t>
      </w:r>
    </w:p>
    <w:p>
      <w:r>
        <w:rPr>
          <w:b/>
        </w:rPr>
        <w:t xml:space="preserve">Quelle: </w:t>
      </w:r>
      <w:r>
        <w:t>https://mcp.opencaselaw.ch/entscheid/bger_1B_417_2018</w:t>
      </w:r>
    </w:p>
    <w:p>
      <w:r>
        <w:t>FR: TF 1B_417/2018 du 12 septembre 2018</w:t>
      </w:r>
    </w:p>
    <w:p>
      <w:r>
        <w:t>IT: TF 1B_417/2018 del 12 settembre 2018</w:t>
      </w:r>
    </w:p>
    <w:p>
      <w:pPr>
        <w:pStyle w:val="Heading2"/>
      </w:pPr>
      <w:r>
        <w:t>Erwägungen</w:t>
      </w:r>
    </w:p>
    <w:p>
      <w:r>
        <w:rPr>
          <w:b/>
        </w:rPr>
        <w:t>E. 1</w:t>
      </w:r>
    </w:p>
    <w:p>
      <w:r>
        <w:t>Die Staatsanwaltschaft Rheinfelden-Laufenburg verurteilte A.________ mit Strafbefehl vom 28. September 2017 wegen Verstosses gegen das Ausländergesetz zu einer bedingten Geldstrafe von 60 Tagessätzen à Fr. 30.-- sowie zu einer Busse von Fr. 450.--. A.________ erhob dagegen Einsprache, worauf die Staatsanwaltschaft die Akten am 15. November 2017 an das Bezirksgericht Rheinfelden zwecks Durchführung des Hauptverfahrens überwies.</w:t>
      </w:r>
    </w:p>
    <w:p>
      <w:r>
        <w:t>Am 25. Januar 2018 verlangte A.________ den Ausstand der Staatsanwaltschaft Rheinfelden-Laufenburg. Die Beschwerdekammer in Strafsachen des Obergerichts des Kantons Aargau wies das Ausstandsgesuch mit Entscheid vom 24. Juli 2018 ab.</w:t>
      </w:r>
    </w:p>
    <w:p>
      <w:r>
        <w:rPr>
          <w:b/>
        </w:rPr>
        <w:t>E. 2</w:t>
      </w:r>
    </w:p>
    <w:p>
      <w:r>
        <w:t>A.________ erhob mit Eingabe vom 6. September 2018 (Postaufgabe 10. September 2018) Beschwerde in Strafsachen gegen den Entscheid der Beschwerdekammer in Strafsachen des Obergerichts des Kantons Aargau. Das Bundesgericht verzichtet auf die Einholung von Vernehmlassungen.</w:t>
      </w:r>
    </w:p>
    <w:p>
      <w:r>
        <w:rPr>
          <w:b/>
        </w:rPr>
        <w:t>E. 3</w:t>
      </w:r>
    </w:p>
    <w:p>
      <w:r>
        <w:t>Die Beschwerdeführerin stellt einen Sistierungsantrag. Da auf die Beschwerde, wie nachfolgende Erwägungen zeigen, nicht einzutreten ist, erweist sich eine Sistierung des Verfahrens nicht als zweckmässig. Das Gesuch ist deshalb abzuweisen.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vermag mit ihren nicht sachbezogenen und nicht verständlichen Ausführungen nicht aufzuzeigen, dass die Beschwerdekammer Recht im Sinne von Art. 42 Abs. 2 BGG verletzt hätte, als sie das Ausstandsgesuch abwies. Aus den Ausführungen der Beschwerdeführerin ergibt sich nicht ansatzweise, inwiefern die Begründung der Beschwerdekammer, die zur Abweisung des Ausstandsgesuchs führte, bzw. der Entscheid der Beschwerdekammer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