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1B_417/2012 vom 16. November 2012</w:t>
      </w:r>
    </w:p>
    <w:p>
      <w:r>
        <w:t>Bundesgericht, 2012-11-16, DE</w:t>
      </w:r>
    </w:p>
    <w:p>
      <w:r>
        <w:rPr>
          <w:b/>
        </w:rPr>
        <w:t xml:space="preserve">Quelle: </w:t>
      </w:r>
      <w:r>
        <w:t>https://mcp.opencaselaw.ch/entscheid/bger_1B_417_2012</w:t>
      </w:r>
    </w:p>
    <w:p>
      <w:r>
        <w:t>FR: TF 1B_417/2012 du 16 novembre 2012</w:t>
      </w:r>
    </w:p>
    <w:p>
      <w:r>
        <w:t>IT: TF 1B_417/2012 del 16 novembre 2012</w:t>
      </w:r>
    </w:p>
    <w:p>
      <w:pPr>
        <w:pStyle w:val="Heading2"/>
      </w:pPr>
      <w:r>
        <w:t>Erwägungen</w:t>
      </w:r>
    </w:p>
    <w:p>
      <w:r>
        <w:rPr>
          <w:b/>
        </w:rPr>
        <w:t>E. 1.1</w:t>
      </w:r>
    </w:p>
    <w:p>
      <w:r>
        <w:t>Gemäss Art. 78 Abs. 1 in Verbindung mit Art. 80 und Art. 92 Abs. 1 BGG steht gegen kantonal letztinstanzliche Entscheide über den Ausstand von Magistratspersonen im Strafprozess direkt die Beschwerde in Strafsachen an das Bundesgericht offen. Die Person, die den Ausstand beantragt und am vorinstanzlichen Verfahren teilgenommen hat, ist nach Art. 81 Abs. 1 BGG zur Beschwerde berechtigt (vgl. das Urteil des Bundesgerichts 1B_407/2012 vom 21. September 2012 E. 1). Die Beschwerdeführer erfüllen diese Voraussetzungen. Die Beschwerde ist mithin hinsichtlich des Ausstandsverfahrens grundsätzlich zulässig.</w:t>
      </w:r>
    </w:p>
    <w:p>
      <w:r>
        <w:rPr>
          <w:b/>
        </w:rPr>
        <w:t>E. 1.2</w:t>
      </w:r>
    </w:p>
    <w:p>
      <w:r>
        <w:t>Der angefochtene Entscheid befasst sich einzig mit der Frage des von den Beschwerdeführern beantragten Ausstandes von fünf Oberrichtern und einer Oberrichterin. Soweit die Beschwerdeführer sich zu Streitpunkten äussern, die darin nicht behandelt wurden, wie namentlich zur Frage ihrer Staatsangehörigkeit und den Ablauf von Fristen hindernden Feiertagen nach solothurnischem Recht, fehlt es am erforderlichen Anfechtungsobjekt, weshalb insofern auf die Beschwerde nicht eingetreten werden kann.</w:t>
      </w:r>
    </w:p>
    <w:p>
      <w:r>
        <w:rPr>
          <w:b/>
        </w:rPr>
        <w:t>E. 1.3</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1.4</w:t>
      </w:r>
    </w:p>
    <w:p>
      <w:r>
        <w:t>In der hier einzig massgeblichen Frage des Ausstandes beschränkt sich die Argumentation der Beschwerdeführer auf die vom Obergericht abgewiesenen Ausstandsbegehren gegen die Oberrichterin Y.a.________ sowie die Oberrichter Y.b.________ und Y.e.________. Die Beschwerdeführer äussern sich nicht dazu, inwiefern es gegen Bundesrecht verstossen sollte, dass die Vorinstanz die Ausstandsbegehren gegen die Oberrichter Y.d.________, Y.f.________ und Y.c.________ als gegenstandslos erkannt hat. Insoweit kann daher mangels rechtsgenüglicher Begründung auf die Beschwerde ebenfalls nicht eingetreten werden.</w:t>
      </w:r>
    </w:p>
    <w:p>
      <w:r>
        <w:rPr>
          <w:b/>
        </w:rPr>
        <w:t>E. 2.1</w:t>
      </w:r>
    </w:p>
    <w:p>
      <w:r>
        <w:t>Nach Art. 30 Abs. 1 BV und Art. 6 Ziff. 1 EMRK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Eine gewisse Besorgnis der Voreingenommenheit und damit Misstrauen in die Unabhängigkeit des Gerichts kann bei den Parteien insbesondere dann entstehen, wenn ein Richter in einem anderen, die gleiche Streitsache betreffenden Verfahren oder in einem früheren Stadium desselben Verfahrens bereits tätig war. In diesen Fällen stellt sich die Frage, ob sich der Richter durch seine frühere Mitwirkung in einzelnen Punkten bereits in einem Mass festgelegt hat, das ihn nicht mehr als unvoreingenommen und dementsprechend das Verfahren als nicht mehr offen erscheinen lässt ( BGE 131 I 113 E. 3.4 S. 116).</w:t>
      </w:r>
    </w:p>
    <w:p>
      <w:r>
        <w:rPr>
          <w:b/>
        </w:rPr>
        <w:t>E. 2.2</w:t>
      </w:r>
    </w:p>
    <w:p>
      <w:r>
        <w:t>Die Verfassungsbestimmung von Art. 30 Abs. 1 BV wird in Art. 56 StPO konkretisiert. Nach dieser Bestimmung tritt eine in einer Strafbehörde tätige Person insbesondere dann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Ist die Gerichtsperson in derselben Stellung mit der gleichen Sache mehrfach befasst, liegt kein Fall der Vorbefassung im Sinne von Art. 56 lit. b StPO vor. Eine Mehrfachbefassung in diesem Sinn kann aber im Rahmen von Art. 56 lit. f StPO massgeblich werden (MARKUS BOOG, in: Basler Kommentar, Schweizerische Strafprozessordnung, 2011, N. 26 zu Art. 56 StPO ; Urteil des Bundesgerichts 1B_703/2011 vom 3. Februar 2012 E. 2.4).</w:t>
      </w:r>
    </w:p>
    <w:p>
      <w:r>
        <w:rPr>
          <w:b/>
        </w:rPr>
        <w:t>E. 2.3</w:t>
      </w:r>
    </w:p>
    <w:p>
      <w:r>
        <w:t>In den von den Beschwerdeführern angerufenen Verfahren vor dem Verwaltungsgericht (VWBES.2011.214) und vor dem Obergericht (ZKBES.2011.136) ging es, wie bereits die Vorinstanz festgehalten hat, nicht um das gegen die Beschwerdeführer laufende Strafverfahren. Im verwaltungsgerichtlichen Verfahren bildete die Neuzuweisung einer Notunterkunft den Streitgegenstand. Im zivilrechtlichen Verfahren vor dem Obergericht war Streitobjekt die unentgeltliche Rechtspflege vor der Schlichtungsbehörde für Miete und Pacht im Zusammenhang mit einer Kündigungsanfechtung und der Erstreckung des Mietverhältnisses. Die damit befassten Gerichtsmitglieder sind demnach in der vorliegenden Strafsache nicht in der gleichen Sache tätig und nicht nach Art. 56 lit. b StPO zum Ausstand verpflichtet.</w:t>
      </w:r>
    </w:p>
    <w:p>
      <w:r>
        <w:rPr>
          <w:b/>
        </w:rPr>
        <w:t>E. 2.4</w:t>
      </w:r>
    </w:p>
    <w:p>
      <w:r>
        <w:t>Auch die Personalunion von Zivil- und Strafrichter in konnexen Verfahren fällt nur dann unter den Ausstandsgrund der Beteiligung an der gleichen Sache, wenn besondere Gründe vorliegen (BOOG, a.a.O., N. 20 zu Art. 56 StPO ). Solche sind hier nicht zu erkennen. Überdies geht es, wie die Vorinstanz verbindlich festgestellt hat (vgl. E. 1.3), bei den strafrechtlichen Vorhalten um Geschehnisse vom 27. Juni 2011 und nicht um solche vom 20. Juni 2011, mit denen sich die Oberrichter, um deren Ausstand die Beschwerdeführer ersuchen, bereits befasst haben sollen. Eine Vorbefassung gemäss Art. 56 lit. b StPO ist daher nicht ersichtlich. Die Beschwerdeführer vermögen aber auch, weder gestützt auf diese verfahrensrechtlichen Zusammenhänge noch auf andere Umstände, darzutun, dass bei den fraglichen Oberrichtern der Anschein der Befangenheit im Sinne von Art. 56 lit. f StPO bestünde. Namentlich gibt es keinerlei Hinweise auf Feindschaft oder auf sonstige Umstände, die ein faires Verfahren gegenüber den Beschwerdeführern in Frage stellen würden.</w:t>
      </w:r>
    </w:p>
    <w:p>
      <w:r>
        <w:rPr>
          <w:b/>
        </w:rPr>
        <w:t>E. 3</w:t>
      </w:r>
    </w:p>
    <w:p>
      <w:r>
        <w:t>Die Beschwerde erweist sich als unbegründet und ist abzuweisen, soweit darauf eingetreten werden kann.</w:t>
      </w:r>
    </w:p>
    <w:p>
      <w:r>
        <w:t>Bei diesem Verfahrensausgang werden die unterliegenden Beschwerdeführer unter Solidarhaft kostenpflichtig ( Art. 66 Abs. 1 und 5 BGG ). Wegen Aussichtslosigkeit der Begehren ist das Gesuch um unentgeltliche Rechtspflege abzuweisen (vgl. Art. 64 BGG ). Den angespannten finanziellen Verhältnissen der Beschwerdeführer kann bei der Festsetzung der Gerichtsgebühr Rechnung getragen werden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