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1B_416/2020 vom 31. August 2020</w:t>
      </w:r>
    </w:p>
    <w:p>
      <w:r>
        <w:t>Bundesgericht, 2020-08-31, DE</w:t>
      </w:r>
    </w:p>
    <w:p>
      <w:r>
        <w:rPr>
          <w:b/>
        </w:rPr>
        <w:t xml:space="preserve">Quelle: </w:t>
      </w:r>
      <w:r>
        <w:t>https://mcp.opencaselaw.ch/entscheid/bger_1B_416_2020</w:t>
      </w:r>
    </w:p>
    <w:p>
      <w:r>
        <w:t>FR: TF 1B_416/2020 du 31 août 2020</w:t>
      </w:r>
    </w:p>
    <w:p>
      <w:r>
        <w:t>IT: TF 1B_416/2020 del 31 agosto 2020</w:t>
      </w:r>
    </w:p>
    <w:p>
      <w:pPr>
        <w:pStyle w:val="Heading2"/>
      </w:pPr>
      <w:r>
        <w:t>Erwägungen</w:t>
      </w:r>
    </w:p>
    <w:p>
      <w:r>
        <w:rPr>
          <w:b/>
        </w:rPr>
        <w:t>E. 1.1</w:t>
      </w:r>
    </w:p>
    <w:p>
      <w:r>
        <w:t>Angefochten ist ein kantonal letztinstanzlicher Beschwerdeentscheid über die Anordnung von strafprozessualer Sicherheitshaft bei vorbestandenem stationärem Massnahmenvollzug nach rechtskräftiger Verurteilung im selbstständigen gerichtlichen Nachverfahren über die Anordnung einer Verwahrung ( Art. 222 und Art. 229 StPO i.V.m. Art. 363 f. StPO und Art. 62c Abs. 4 und Art. 64 Abs. 1 StGB ). Dagegen steht grundsätzlich die Beschwerde in Strafsachen nach Art. 78 ff. BGG an das Bundesgericht offen (vgl. die Urteile des Bundesgerichts 1B_111/2020 vom 31. März 2020 E. 1 sowie 1B_24/2020 vom 3. Februar 2020 E. 1). Der Beschwerdeführer war am vorinstanzlichen Verfahren beteiligt und ist als Häftling beschwerdelegitimiert (vgl. Art. 81 Abs. 1 BGG ).</w:t>
      </w:r>
    </w:p>
    <w:p>
      <w:r>
        <w:rPr>
          <w:b/>
        </w:rPr>
        <w:t>E. 1.2</w:t>
      </w:r>
    </w:p>
    <w:p>
      <w:r>
        <w:t>Der Beschwerdeführer stellt keinen ausdrücklichen Antrag auf Haftentlassung. Ob ein solcher in seinem Rechtsbegehren auf Aufhebung des angefochtenen Entscheids stillschweigend enthalten ist, erscheint fraglich, kann aber offenbleiben. Der Beschwerdeführer beantragt in erster Linie, wohl mit Blick auf die geltend gemachte Haftentschädigung, die Feststellung, die Sicherheitshaft sei seit deren Anordnung rechtswidrig. Mit Blick auf Art. 13 in Verbindung mit Art. 5 und 6 EMRK ist ihm zumindest ein entsprechendes Feststellungsinteresse zuzuerkennen (vgl. BGE 136 I 274 E. 1 S. 276 ff.).</w:t>
      </w:r>
    </w:p>
    <w:p>
      <w:r>
        <w:rPr>
          <w:b/>
        </w:rPr>
        <w:t>E. 1.3</w:t>
      </w:r>
    </w:p>
    <w:p>
      <w:r>
        <w:t>Auf das akzessorische Haftentschädigungsbegehren des Beschwerdeführers ist hingegen, ungeachtet des Ausgangs des Haftbeschwerdeverfahrens in der Sache, nicht einzutreten. Über solche Begehren ist nicht im Haftprüfungsverfahren zu entscheiden, sondern im gesetzlich vorgesehenen separaten Haftentschädigungsverfahren (vgl. Art. 222 und Art. 429-431 StPO ; BGE 140 I 246 E. 2.5.1 S. 250; s.a. Urteil des Bundesgerichts 1B_111/2020 vom 31. März 2020 E. 1, mit weiteren Hinweisen). Im Übrigen bezeichnet der Beschwerdeführer in einem gewissen Widerspruch zu seinem Entschädigungsbegehren die Frage der hinreichenden gesetzlichen Grundlage für die Anordnung der Sicherheitshaft im gerichtlichen Nachverfahren als alleinigen Streitgegenstand (Beschwerdeschrift S. 3 Ziff. 1.4).</w:t>
      </w:r>
    </w:p>
    <w:p>
      <w:r>
        <w:rPr>
          <w:b/>
        </w:rPr>
        <w:t>E. 1.4</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Die vom Beschwerdeführer erhobenen Rügen erweisen sich als rudimentär. Insbesondere setzt sich der Beschwerdeführer nur marginal mit der Frage der ausreichenden gesetzlichen Grundlage im kantonalen Recht auseinander. Überdies führt er überhaupt nicht aus, weshalb die Vorinstanz nicht auf eine Heilung der Gehörsverletzung durch die erste Instanz hätte entscheiden dürfen sowie weshalb sie auf das Haftentschädigungsgesuch hätte eintreten müssen. Auf die Beschwerde kann daher nur im nachfolgenden Umfang eingetreten werden. Im Übrigen erweist sie sich als unzulässig.</w:t>
      </w:r>
    </w:p>
    <w:p>
      <w:r>
        <w:rPr>
          <w:b/>
        </w:rPr>
        <w:t>E. 2.1</w:t>
      </w:r>
    </w:p>
    <w:p>
      <w:r>
        <w:t>Der Beschwerdeführer beruft sich auf das Urteil des Europäischen Gerichtshofs für Menschenrechte Nr. 72939/16 I.L. gegen die Schweiz vom 3. Dezember 2019. Gemäss diesem Entscheid fehle es in der schweizerischen Strafprozessordnung an einer ausreichenden gesetzlichen Grundlage für strafprozessuale Sicherheitshaft nach rechtskräftiger Verurteilung im selbstständigen gerichtlichen Nachverfahren. Mit diesem Urteil hat sich das Bundesgericht indessen schon wiederholt auseinandergesetzt. Danach beruht die Anordnung von Sicherheitshaft im fraglichen Zusammenhang inzwischen auf einer lang andauernden und konstanten Rechtsprechung. Diese geht zurück auf ein in BGE 137 IV 333 publiziertes Urteil vom 15. August 2011 und wurde seither unzählige Male bestätigt (vgl. das Urteil des Bundesgerichts 1B_24/2020 vom 3. Februar 2020 sowie die dort in E. 3.3 zitierten weiteren Urteile). Die entsprechende bundesgerichtliche Rechtsprechung vermag die allenfalls fehlende ausdrückliche Gesetzesgrundlage nach der Rechtsprechung des Europäischen Gerichtshofes für Menschenrechte zu ersetzen (vgl. etwa die Urteile des Bundesgerichts 1B_111/2020 vom 31. März 2020, zur Publ. vorgesehen; 1B_290/2020 und 1B_311/2020 vom 4. August 2020; 1B_207/2020 vom 26. Mai 2020; 1B_160/2020 vom 28. April 2020; 1B_121/2020 vom 24. März 2020). Die Vorinstanz stützte sich ebenfalls auf diese Rechtsprechung, die im Übrigen spätestens seit dem angefochtenen Entscheid auch dem Beschwerdeführer bekannt ist, deren Kenntnis von seinem Rechtsvertreter erwartet werden kann und die er gemäss seiner Beschwerdeschrift auch kennt und im Übrigen als unzulässig kritisiert. Der Beschwerdeführer bringt keine nachvollziehbaren Gründe dafür vor, im vorliegenden Fall davon abzuweichen, und dafür besteht auch kein Anlass. Die entsprechende Rüge des Beschwerdeführers stösst demnach ins Leere.</w:t>
      </w:r>
    </w:p>
    <w:p>
      <w:r>
        <w:rPr>
          <w:b/>
        </w:rPr>
        <w:t>E. 2.2</w:t>
      </w:r>
    </w:p>
    <w:p>
      <w:r>
        <w:t>Die Vorinstanz stützte die Haftanordnung bzw. -verlängerung ergänzend auf § 22 Abs. 1 des Straf- und Justizvollzugsgesetzes des Kantons Zürich vom 19. Juni 2006 (StJVG; LS 331). Danach kann die für den Vollzug zuständige Amtsstelle eine Person vor oder mit der Einleitung eines Verfahrens auf Erlass eines nachträglichen richterlichen Entscheides gemäss Art. 363 ff. StPO unter bestimmten, im Gesetz ausgeführten Voraussetzungen in Sicherheitshaft setzen. Das Obergericht hielt dazu im Wesentlichen fest, die darin genannten Haftvoraussetzungen deckten sich mit den materiellen Haftgründen nach Art. 221 Abs. 1 lit. c StPO und der dazu ergangenen bundesgerichtlichen Rechtsprechung. Überdies habe das Bundesgericht in zwei jüngeren Entscheiden eine analoge Gesetzesregelung des Kantons Bern als hinreichende gesetzliche Grundlage für die Haftanordnung vor oder nach der Einleitung des nachträglichen gerichtlichen Verfahrens beurteilt (Urteile 1B_201/2018 vom 15. Mai 2018 E. 3 und 1B_121/2020 vom 24. März 2020 E. 5; offen gelassen in den beiden Urteilen 1B_160/2020 vom 28. April 2020 E. 2.6 sowie 1B_207/2020 vom 26. Mai 2020 E. 3.5). Der Beschwerdeführer macht dazu nur rudimentär geltend, die kantonale vollzugsrechtliche Sicherheitshaft könne lediglich analog gestützt auf die Vorgaben der Strafprozessordnung legitimiert werden, womit eine für Art. 5 Ziff. 1 EMRK ausreichende gesetzliche Grundlage ausscheide. Weshalb dies so sein sollte, führt er jedoch nicht aus und ist weder nachvollziehbar noch ersichtlich. Weiter ist darauf daher nicht einzugehen.</w:t>
      </w:r>
    </w:p>
    <w:p>
      <w:r>
        <w:rPr>
          <w:b/>
        </w:rPr>
        <w:t>E. 3</w:t>
      </w:r>
    </w:p>
    <w:p>
      <w:r>
        <w:t>Die Beschwerde erweist sich als unbegründet und ist abzuweisen, soweit darauf eingetreten werden kann.</w:t>
      </w:r>
    </w:p>
    <w:p>
      <w:r>
        <w:t>Bei diesem Verfahrensausgang wird der unterliegende Beschwerdeführer kostenpflichtig ( Art. 66 Abs. 1 BGG ). Er stellt ein Gesuch um unentgeltliche Rechtspflege und Verbeiständung. Dieses hat jedoch angesichts der dargelegten Rechtsprechung sowie des Umstands, dass diese inzwischen hinlänglich öffentlich bekannt ist und in den Medien sowie Fachzeitschriften beschrieben und diskutiert wurde, als aussichtslos zu gelten (vgl. das Urteil des Bundesgerichts 1B_207/2020 vom 26. Mai 2020 E. 4). Das Gesuch des Beschwerdeführers um unentgeltliche Rechtspflege und Verbeiständung ist folglich abzuweisen (vgl. Art. 64 Abs. 1 BGG ). Auf die Erhebung von Gerichtskosten kann hier immerhin ausnahmsweise verzichtet werden ( Art. 66 Abs. 1 Satz 2 BGG ). Eine Entschädigung ist hingegen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