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416/2017 vom 19. Oktober 2017</w:t>
      </w:r>
    </w:p>
    <w:p>
      <w:r>
        <w:t>Bundesgericht, 2017-10-19, FR</w:t>
      </w:r>
    </w:p>
    <w:p>
      <w:r>
        <w:rPr>
          <w:b/>
        </w:rPr>
        <w:t xml:space="preserve">Quelle: </w:t>
      </w:r>
      <w:r>
        <w:t>https://mcp.opencaselaw.ch/entscheid/bger_1B_416_2017</w:t>
      </w:r>
    </w:p>
    <w:p>
      <w:r>
        <w:t>FR: TF 1B 416/2017 du 19 octobre 2017</w:t>
      </w:r>
    </w:p>
    <w:p>
      <w:r>
        <w:t>IT: TF 1B 416/2017 del 19 ottobre 2017</w:t>
      </w:r>
    </w:p>
    <w:p>
      <w:pPr>
        <w:pStyle w:val="Heading2"/>
      </w:pPr>
      <w:r>
        <w:t>Regeste</w:t>
      </w:r>
    </w:p>
    <w:p>
      <w:r>
        <w:t>détention pour des motifs de sûreté | Procédure pénale</w:t>
      </w:r>
    </w:p>
    <w:p>
      <w:pPr>
        <w:pStyle w:val="Heading2"/>
      </w:pPr>
      <w:r>
        <w:t>Erwägungen</w:t>
      </w:r>
    </w:p>
    <w:p>
      <w:r>
        <w:rPr>
          <w:b/>
        </w:rPr>
        <w:t>E. 1.1</w:t>
      </w:r>
    </w:p>
    <w:p>
      <w:r>
        <w:t>Le recours en matière pénale ( art. 78 al. 1 LTF ) est ouvert contre une décision relative à la détention pour des motifs de sûreté au sens des art. 212 ss CPP . Selon l'art. 81 al. 1 let. a et let. b ch. 1 LTF, le prévenu détenu a qualité pour recourir. Pour le surplus, le recours a été formé en temps utile ( art. 100 al. 1 LTF ) contre une décision rendue en dernière instance cantonale ( art. 80 LTF ).</w:t>
      </w:r>
    </w:p>
    <w:p>
      <w:r>
        <w:rPr>
          <w:b/>
        </w:rPr>
        <w:t>E. 1.2</w:t>
      </w:r>
    </w:p>
    <w:p>
      <w:r>
        <w:t>Selon l' art. 99 al. 2 LTF , toute conclusion nouvelle est irrecevable. La recevabilité de celle tendant à la constatation de la violation du principe de célérité pourrait ainsi être remise en cause. En effet, la possibilité de soulever devant le Tribunal fédéral, dans certaines circonstances, un nouveau grief juridique - fondé sur du droit fédéral ou constitutionnel ( ATF 142 I 155 consid. 4.4.6 p. 159; arrêt 1B_344/2017 du 20 septembre 2017 consid. 2) - ne permet en revanche pas d'étendre, par le biais des conclusions, l'objet de la contestation tel que fixé par l'arrêt attaqué ( ATF 142 I 155 consid. 4.4.2 p. 156). Cela étant, vu l'issue de la présente cause, la recevabilité de cette conclusion peut rester indécise; cela vaut d'autant plus qu'en tant que grief, la violation du principe de célérité peut entrer en considération dans le cadre de l'examen de la détention, respectivement conduire le cas échéant à une libération.</w:t>
      </w:r>
    </w:p>
    <w:p>
      <w:r>
        <w:rPr>
          <w:b/>
        </w:rPr>
        <w:t>E. 1.3</w:t>
      </w:r>
    </w:p>
    <w:p>
      <w:r>
        <w:t>A l'appui de son argumentation - notamment en lien avec la violation alléguée du principe de célérité -, le recourant produit deux pièces nouvelles, à savoir (1) le procès-verbal de l'audience préliminaire du tribunal de première instance du 25 août 2017 et (2) le courrier de cette autorité du 29 août 2017 assignant aux parties un délai au 20 octobre 2017 pour déposer leurs réquisitions de preuve, ainsi que le report du début des débats, prévu initialement au 27 novembre 2017, au 15 janvier 2018. Il est tout d'abord douteux que le recourant ait été empêché de produire la première de ces deux pièces devant l'autorité précédente (cf. la séance - mentionnée dans l'arrêt cantonal [cf. ad B.a] - tenue entre 08h15 et 09h10, la remise du procès-verbal aux parties présentes [p. 3 et 10] et l'envoi de ses déterminations à la Chambre pénale de recours par télécopie uniquement à 14h07 ce même jour). On peine également à ne pas considérer le second document - certes daté du même jour que l'arrêt attaqué - comme un élément postérieur à celui-ci dès lors que les parties n'en ont a priori eu connaissance qu'ultérieurement (cf. le timbre apposé y figurant "Reçu le 30 août 2017"). Cela étant, vu l'issue du litige, la recevabilité de ces deux pièces peut rester indécise ( art. 99 al. 1 LTF ; ATF 143 V 19 consid. 1.2 p. 22 s.).</w:t>
      </w:r>
    </w:p>
    <w:p>
      <w:r>
        <w:rPr>
          <w:b/>
        </w:rPr>
        <w:t>E. 2</w:t>
      </w:r>
    </w:p>
    <w:p>
      <w:r>
        <w:t>Le recourant ne remet pas en cause l'existence de charges suffisantes pesant à son encontre ( art. 221 al. 1 CPP ). Invoquant notamment un établissement inexact des faits, il reproche à l'autorité précédente d'avoir considéré qu'il existerait un risque de fuite. Il soutient en particulier que la cour cantonale n'aurait pas tenu compte de ses attaches, en particulier familiales, en Suisse, ainsi que de son projet professionnel.</w:t>
      </w:r>
    </w:p>
    <w:p>
      <w:r>
        <w:rPr>
          <w:b/>
        </w:rPr>
        <w:t>E. 2.1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rPr>
          <w:b/>
        </w:rPr>
        <w:t>E. 2.2</w:t>
      </w:r>
    </w:p>
    <w:p>
      <w:r>
        <w:t>En l'occurrence, le recourant, de nationalité française, ne conteste pas avoir des liens avec son pays d'origine, soit en particulier avec ses parents. Il prétend en revanche que cela ne suffirait pas pour considérer que ces attaches seraient plus importantes que celles qu'il détient en Suisse, pays où résident sa femme et son fils. La cour cantonale n'a cependant pas ignoré les relations du recourant avec la Suisse. Elle a en revanche estimé que celles-ci étaient fragiles en raison de l'absence de perspective d'avenir pour le recourant dans ce pays (défaut de possibilité de reprise d'une carrière bancaire, projet "à peine esquissé" de reconversion dans le commerce équitable et saisie de ses biens immobiliers). Ce n'est ainsi pas l'intensité et/ou la régularité des liens avec l'étranger - dont l'existence venait certes s'ajouter à ces éléments - qui a primé lors du raisonnement de l'autorité précédente, mais la faiblesse des attaches existant avec la Suisse. Aucun des arguments soulevés par le recourant ne permet d'avoir une appréciation différente. En effet, il ne soutient pas que son fils - majeur - dépendrait dans une quelconque mesure de sa propre présence en Suisse ou que celui-ci serait empêché de se déplacer, le cas échéant, à l'étranger pour lui rendre visite; peu importe dès lors que son fils puisse, lui, prétendre à certains liens dans ce pays. Le recourant n'établit pas non plus quelles démarches auraient été entreprises ou envisagées, notamment depuis août 2017, pour donner une suite concrète à son projet de commerce équitable; il n'apparaît au demeurant pas d'emblée évident que celui-ci devrait être nécessairement mis en oeuvre ou dirigé depuis la Suisse au regard en particulier de la vente prévue par internet. Enfin, vu la procédure pendante devant le Tribunal correctionnel, la perspective d'une condamnation se précise; la quotité de la peine pourrait être d'une certaine importance eu égard à l'autorité saisie (cf. art. 98 al. 1 de la loi genevoise du 26 septembre 2010 sur l'organisation judiciaire [LOJ; RS/GE E 2 05]) et à l'admission de la quasi-totalité des nombreux faits qui lui sont reprochés par le recourant. Ces différents éléments permettent de retenir que le recourant pourrait être tenté de se soustraire à la procédure pénale, notamment en se rendant dans son pays d'origine duquel il ne peut être extradé et auprès duquel il n'est pas certain de pouvoir obtenir l'exécution de la sanction qui pourrait être prononcée à son encontre ainsi que l'a relevé la cour cantonale (cf. son consid. 4.3 et la proposition citée du Conseil fédéral du 19 août 2015 de rejeter la motion 15.3510, solution suivie par le Conseil National le 3 mai 2017 [cf. https:/ /www.parlament.ch/fr/ratsbetrieb/suche-curia-vista/geschaeft?AffairId=20153510, consulté le 17 octobre 2017 à 10h54]). Partant, la Chambre pénale de recours n'a pas violé le droit fédéral, ou fait preuve d'arbitraire, en retenant l'existence d'un risque de fuite.</w:t>
      </w:r>
    </w:p>
    <w:p>
      <w:r>
        <w:rPr>
          <w:b/>
        </w:rPr>
        <w:t>E. 2.3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 A cet égard, la cour cantonale a relevé la gravité des charges et la proximité de l'audience de jugement, ce qui rendaient insuffisantes les mesures de substitution proposées pour pallier le danger de fuite - "aigu" - existant. Pour le surplus, l'autorité précédente a renvoyé aux explications données par le Tmc, à savoir qu'il était notoire que le défaut de documents d'identité, le port d'un bracelet électronique ou l'obligation de se présenter à un poste de police n'étaient pas des mesures propres à éviter la fuite par voie terrestre (cf. consid. 6.2 de l'arrêt entrepris). Le recourant ne développe aucune argumentation susceptible de remettre en cause ces considérations. Contrairement à ce qu'il soutient, aucun élément particulier ne permet de considérer que le risque de fuite le concernant serait faible ou que son intensité aurait diminué; tel aurait peut-être pu être le cas si les charges pesant à son encontre avaient diminué au cours de la procédure pénale (cf. pour un exemple dans ce sens, arrêt 1B_344/2017 du 20 septembre 2015 consid. 5.1), mais ce n'est manifestement pas le cas en l'occurrence.</w:t>
      </w:r>
    </w:p>
    <w:p>
      <w:r>
        <w:rPr>
          <w:b/>
        </w:rPr>
        <w:t>E. 2.4</w:t>
      </w:r>
    </w:p>
    <w:p>
      <w:r>
        <w:t>Le recourant ne soutient pas que la durée de la détention subie avant jugement excéderait la peine concrètement encourue dans le cas d'espèce (cf. art. 212 al. 3 CPP ).</w:t>
      </w:r>
    </w:p>
    <w:p>
      <w:r>
        <w:rPr>
          <w:b/>
        </w:rPr>
        <w:t>E. 2.5</w:t>
      </w:r>
    </w:p>
    <w:p>
      <w:r>
        <w:t>Par conséquent, au regard de l'existence d'un risque de fuite et du défaut de mesures de substitution adéquates pour le réduire, la juridic-tion précédente a confirmé à juste titre le maintien du recourant en détention pour des motifs de sûreté.</w:t>
      </w:r>
    </w:p>
    <w:p>
      <w:r>
        <w:rPr>
          <w:b/>
        </w:rPr>
        <w:t>E. 3</w:t>
      </w:r>
    </w:p>
    <w:p>
      <w:r>
        <w:t>Le recourant soutient encore que le principe de célérité serait violé par la durée de la procédure pénale ( art. 5 CPP ); cela vaudrait d'autant plus que les audiences de jugement avaient été repoussées à janvier 2018. Faute d'avoir été soulevé devant elle, la cour cantonale ne s'est pas prononcée expressément sur ce grief. En effet, la constatation dont se prévaut à cet égard le recourant (cf. en particulier ad 99 de son mémoire de recours) a été émise dans le cadre de l'examen de la proportionnalité de la durée de la détention subie avant jugement. Ainsi, selon l'autorité précédente, cette mesure ne violait pas le principe susmentionné vu l'importance des charges retenues à l'encontre du recourant et la sanction d'une certaine importance qui pourrait être envisagée au regard de l'autorité saisie lors du renvoi en jugement, ainsi que de la commission sur une longue période des infractions reprochées; les recours de certaines des parties plaignantes sur des aspects allégués non repris dans l'acte d'accusation ne permettaient pas de changer cette appréciation (cf. consid. 3 de l'arrêt attaqué). Il n'est ainsi nullement question de la durée de la procédure pénale, respectivement de son éventuelle prolongation, mais uniquement du fait que l'issue des recours ne viendrait en tout cas pas alléger les charges pesant en l'état sur le recourant et la sanction pouvant en découler. En tout état de cause et dans la mesure où ce grief serait recevable ( ATF 142 I 155 consid. 4.4.6 p. 158 s.), il devrait être rejeté. En effet, le raisonnement du recourant se fonde uniquement sur la chronologie - qui ne paraît au demeurant pas révéler de temps morts inadmissibles - des actes de procédure (audition finale du 8 février 2017, acte d'accusation du 26 juin 2017, audience préliminaire du 25 août 2017 et report des débats à janvier 2018). Il omet cependant de prendre en compte que la cause n'est pas dénuée de toute complexité (nombre de parties, commission des infractions sur une grande période, valeur litigieuse très importante, lourds chefs d'infraction retenus par le Ministère public, dont certains avec des circonstances aggravantes). Cela ressort également de la nécessité de tenir une audience préliminaire; le recourant ne soutient d'ailleurs pas le contraire et, selon le procès-verbal de ladite audience, son mandataire a relevé que si le tribunal de première instance entendait statuer sur les questions civiles, cela aurait des conséquences sur la préparation de l'audience. Certes, les recours pendants sont susceptibles d'impliquer une prolongation de la procédure. Sauf à dénier le droit aux autres parties d'utiliser les prérogatives que le Code leur confère, cela ne suffit pas en soi pour retenir une violation du principe de célérité; cela vaut d'autant plus qu'en l'état, le tribunal de première instance ne paraît pas avoir suspendu la procédure.</w:t>
      </w:r>
    </w:p>
    <w:p>
      <w:r>
        <w:rPr>
          <w:b/>
        </w:rPr>
        <w:t>E. 4</w:t>
      </w:r>
    </w:p>
    <w:p>
      <w:r>
        <w:t>Il s'ensuit que le recours est rejeté dans la mesure où il est recevable. Le recourant a demandé l'octroi de l'assistance judiciaire. Les conditions posées à l' art. 64 al. 1 LTF étant réunies, il convient de mettre le recourant au bénéfice de l'assistance judiciaire, de lui désigner Me Simon Ntah en tant qu'avocat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