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1B_416/2012 vom 30. Oktober 2012</w:t>
      </w:r>
    </w:p>
    <w:p>
      <w:r>
        <w:t>Bundesgericht, 2012-10-30, FR</w:t>
      </w:r>
    </w:p>
    <w:p>
      <w:r>
        <w:rPr>
          <w:b/>
        </w:rPr>
        <w:t xml:space="preserve">Quelle: </w:t>
      </w:r>
      <w:r>
        <w:t>https://mcp.opencaselaw.ch/entscheid/bger_1B_416_2012</w:t>
      </w:r>
    </w:p>
    <w:p>
      <w:r>
        <w:t>FR: TF 1B_416/2012 du 30 octobre 2012</w:t>
      </w:r>
    </w:p>
    <w:p>
      <w:r>
        <w:t>IT: TF 1B_416/2012 del 30 ottobre 2012</w:t>
      </w:r>
    </w:p>
    <w:p>
      <w:pPr>
        <w:pStyle w:val="Heading2"/>
      </w:pPr>
      <w:r>
        <w:t>Erwägungen</w:t>
      </w:r>
    </w:p>
    <w:p>
      <w:r>
        <w:rPr>
          <w:b/>
        </w:rPr>
        <w:t>E. 1</w:t>
      </w:r>
    </w:p>
    <w:p>
      <w:r>
        <w:t>L'arrêt attaqué, qui confirme le maintien du séquestre provisoire, est une décision rendue en matière pénale au sens de l' art. 78 al. 1 LTF . En tant que titulaires des avoirs saisis, les recourants peuvent se prévaloir d'un intérêt juridique à obtenir l'annulation ou la modification de cette décision, de sorte qu'ils ont la qualité pour recourir au sens de l' art. 81 al. 1 LTF ( ATF 133 IV 278 consid. 1.3 p. 282 s.; 128 IV 145 consid. 1a p. 148; 108 IV 154 consid. 1a p. 155 s.). La décision par laquelle le juge prononce, maintient ou refuse un séquestre pénal constitue une décision incidente, qui ne met pas fin à la procédure ( ATF 128 I 129 consid. 1 p. 131; 126 I 97 consid. 1b p. 100 et les références). Cela étant, la jurisprudence admet que le séquestre de valeurs patrimoniales cause en principe un dommage irréparable au sens de l' art. 93 al. 1 let. a LTF , dans la mesure où le détenteur se trouve privé temporairement de la libre disposition des valeurs saisies ( ATF 126 I 97 consid. 1b p. 101; voir également ATF 133 IV 139 consid. 4 p. 141; 128 I 129 consid. 1 p. 131; 89 I 185 consid. 4 p. 187 et les références). Pour le surplus, le recours est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Les recourants se plaignent d'une violation de l' art. 263 CPP . Selon eux, il n'existerait pas d'indices sérieux permettant d'établir un lien entre les fonds séquestrés et le produit de l'activité illégale reprochée au recourant - susceptible d'avoir été blanchi en Suisse -, à tout le moins pour toute somme supérieure au montant de USD 530'000.-; les indices ne se seraient pas renforcés depuis le début de l'enquête, le Ministère public n'ayant recueilli aucun élément pertinent depuis plus d'une année. Ce grief se confond en substance avec ceux également tirés de la violation du principe de la proportionnalité, de la garantie de la propriété et de l'interdiction de l'arbitraire.</w:t>
      </w:r>
    </w:p>
    <w:p>
      <w:r>
        <w:rPr>
          <w:b/>
        </w:rPr>
        <w:t>E. 2.1</w:t>
      </w:r>
    </w:p>
    <w:p>
      <w:r>
        <w:t>Le séquestre, comme mesure restreignant le droit de propriété, n'est compatible avec la Constitution que s'il repose sur une base légale, est justifié par un intérêt public suffisant et respecte le principe de la proportionnalité ( art. 26 al. 1 Cst. en relation avec l'art. 36 al. 1 à 3 Cst.; cf. ATF 126 I 219 consid. 2a p. 221, 2c p. 221/222).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124 I 40 consid. 3e p. 44/45; 119 Ia 348 consid. 2a p. 353; 118 Ia 394 consid. 2b p. 397 et les arrêts cités).</w:t>
      </w:r>
    </w:p>
    <w:p>
      <w:r>
        <w:t>Le séquestre pénal contesté est fondé sur l' art. 263 CPP . Cette mesure conservatoire provisoire est destinée à préserver les objets ou valeurs que le juge du fond pourrait être amené à confisquer ou qui pourraient servir à l'exécution d'une créance compensatrice. Elle est proportionnée lorsqu'elle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 1B_175/2012 du 5 septembre 2012 consid. 4.1; arrêt 1P.405/1993 du 8 novembre 1993 consid. 3 publié in SJ 1994 p. 97; cf. également LEMBO/JULEN BERTHOD, in Commentaire romand CPP, 2011, n. 27 ad art. 263 CPP ). Enfin, pour que le maintien du séquestre pendant une période prolongée se justifie, il importe que les présomptions se renforcent en cours d'enquête ( ATF 122 IV 91 consid. 4 p. 96; LEMBO/JULEN BERTHOD, op. cit., n. 26 ad art. 263 CPP ).</w:t>
      </w:r>
    </w:p>
    <w:p>
      <w:r>
        <w:rPr>
          <w:b/>
        </w:rPr>
        <w:t>E. 2.2</w:t>
      </w:r>
    </w:p>
    <w:p>
      <w:r>
        <w:t>Les recourants ne critiquent pas l'existence d'indices suffisants permettant de suspecter qu'une partie des valeurs patrimoniales saisies sur le compte litigieux puisse être le produit d'infractions. Ils limitent leur recours à la question de la levée partielle du séquestre et contestent le maintien du séquestre sur l'intégralité des avoirs déposés sur le compte litigieux.</w:t>
      </w:r>
    </w:p>
    <w:p>
      <w:r>
        <w:t>En vertu du principe de la proportionnalité qui s'applique à tous les stades de la procédure, l'étendue du séquestre doit rester en rapport avec le produit de l'infraction poursuivie ( ATF 130 II 329 consid. 6). En l'occurrence, la décision de séquestre du Ministère public du 7 juin 2011 se fonde sur des articles de presse relatant les soupçons pesant à l'encontre du recourant qui aurait obtenu des remboursements indus auprès de compagnies d'assurance-maladie pour des consultations à Hawaï. L'arrêt entrepris relève que la quotité exacte des fonds pouvant provenir d'une activité criminelle n'avait pas encore pu être déterminée; l'instance précédente précisait qu'un doute sérieux existait à ce sujet, quand bien même le préjudice des autorités américaines n'apparaissait pas excéder les USD 530'000.- (cf. consid. 2.3.1 de l'arrêt attaqué). Selon l'acte d'inculpation ("indictment") établi le 21 décembre 2010 par le Tribunal de district de l'Etat de Hawaï - document produit par les recourants et ayant été transmis aux autorités argentines dans le cadre de la demande d'extradition formulée par les USA -, il est reproché au recourant d'avoir facturé aux compagnies d'assurance environ un million de USD et d'avoir effectivement reçu plus de USD 530'000.- auxquels il n'avait pas entièrement droit. Ce document mentionne également le fait que le recourant aurait eu recours à la poste pour envoyer des factures pour un montant total de USD 9'600.-</w:t>
      </w:r>
    </w:p>
    <w:p>
      <w:r>
        <w:t>La probabilité d'une confiscation pour un montant supérieur à USD 530'000.-, soit à celui figurant dans l'acte d'inculpation ne s'est pas renforcée depuis plus d'un an d'instruction, seul ce montant étant clairement allégué. Les autorités suisses et étrangères n'ont apporté aucun élément supplémentaire par rapport à ceux présents au début de l'enquête qui permettrait à ce stade de justifier le maintien du séquestre sur l'intégralité des avoirs des époux déposés sur le compte litigieux. En particulier, le Ministère public ne fournit aucune indication permettant de suspecter que les fonds potentiellement illicites seraient supérieurs au dommage allégué par les autorités américaines selon l'acte d'inculpation du 21 décembre 2010. Le maintien du séquestre sur l'intégralité des avoirs des époux s'avère dès lors disproportionné et doit être en partie levé, tout en garantissant néanmoins le paiement des éventuels frais de la procédure pénale (cf. 263 al.1 let. b CPP), comme l'admettent les recourants dans le recours.</w:t>
      </w:r>
    </w:p>
    <w:p>
      <w:r>
        <w:t>Par conséquent, le séquestre doit être confirmé à hauteur de USD 600'000.-, montant en capital qui comprend les intérêts et les frais prévisibles de la procédure. Le recours est admis en ce sens que les avoirs dépassant le montant précité sont libérés. Dans ces circonstances, point n'est besoin d'examiner plus avant la critique des recourants quant à leur droit au minimum vital.</w:t>
      </w:r>
    </w:p>
    <w:p>
      <w:r>
        <w:rPr>
          <w:b/>
        </w:rPr>
        <w:t>E. 3</w:t>
      </w:r>
    </w:p>
    <w:p>
      <w:r>
        <w:t>Le recours doit par conséquent être admis. L'arrêt entrepris est annulé et la cause est renvoyée au Ministère public pour nouvelle décision au sens des considérants. Les recourants obtiennent gain de cause avec l'assistance d'un avocat, de sorte qu'ils ont droit à des dépens, qui sont mis à la charge du canton de Genève. Ceux-ci comprendront également l'indemnité à laquelle les recourants ont droit pour la procédure cantonale ( art. 68 al. 5 LTF ).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