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1B_413/2016 vom 27. Januar 2017</w:t>
      </w:r>
    </w:p>
    <w:p>
      <w:r>
        <w:t>Bundesgericht, 2017-01-27, DE</w:t>
      </w:r>
    </w:p>
    <w:p>
      <w:r>
        <w:rPr>
          <w:b/>
        </w:rPr>
        <w:t xml:space="preserve">Quelle: </w:t>
      </w:r>
      <w:r>
        <w:t>https://mcp.opencaselaw.ch/entscheid/bger_1B_413_2016</w:t>
      </w:r>
    </w:p>
    <w:p>
      <w:r>
        <w:t>FR: TF 1B_413/2016 du 27 janvier 2017</w:t>
      </w:r>
    </w:p>
    <w:p>
      <w:r>
        <w:t>IT: TF 1B_413/2016 del 27 gennaio 2017</w:t>
      </w:r>
    </w:p>
    <w:p>
      <w:pPr>
        <w:pStyle w:val="Heading2"/>
      </w:pPr>
      <w:r>
        <w:t>Erwägungen</w:t>
      </w:r>
    </w:p>
    <w:p>
      <w:r>
        <w:rPr>
          <w:b/>
        </w:rPr>
        <w:t>E. 1.1</w:t>
      </w:r>
    </w:p>
    <w:p>
      <w:r>
        <w:t>Mit dem angefochtenen Beschluss hat das Kantonsgericht die Weigerung der Staatsanwaltschaft geschützt, dem Beschwerdeführer volle Akteneinsicht zu gewähren. Es handelt sich um einen kantonal letztinstanzlichen Entscheid in einer Strafsache; dagegen ist die Beschwerde in Strafsachen zulässig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t>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Ob die (zeitweilige) Verweigerung von Akteneinsicht einen nicht wiedergutzumachenden Nachteil rechtlicher Natur bewirken kann, hängt nach der Praxis des Bundesgerichts von der Konstellation und den konkreten Umständen im Einzelfall ab (vgl. BGE 137 IV 172 E. 2; Urteile 1B_171/2013 vom 11. Juni 2013 E. 1.2 und 1B_439/2012 vom 8. November 2012 E. 1.2), weshalb jedenfalls nicht offensichtlich ist, dass dies vorliegend zutrifft. Auf die Beschwerde ist daher nicht einzutreten, weil sich der Beschwerdeführer in der Beschwerdeschrift dazu nicht äussert und damit unter Verletzung seiner gesetzlichen Begründungspflicht nicht darlegt, dass und inwiefern der angefochtene Entscheid einen nicht wieder gutzumachenden Nachteil rechtlicher Natur bewirken könnte.</w:t>
      </w:r>
    </w:p>
    <w:p>
      <w:r>
        <w:rPr>
          <w:b/>
        </w:rPr>
        <w:t>E. 2</w:t>
      </w:r>
    </w:p>
    <w:p>
      <w:r>
        <w:t>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