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1B_413/2015 vom 21. Dezember 2015</w:t>
      </w:r>
    </w:p>
    <w:p>
      <w:r>
        <w:t>Bundesgericht, 2015-12-21, FR</w:t>
      </w:r>
    </w:p>
    <w:p>
      <w:r>
        <w:rPr>
          <w:b/>
        </w:rPr>
        <w:t xml:space="preserve">Quelle: </w:t>
      </w:r>
      <w:r>
        <w:t>https://mcp.opencaselaw.ch/entscheid/bger_1B_413_2015</w:t>
      </w:r>
    </w:p>
    <w:p>
      <w:r>
        <w:t>FR: TF 1B_413/2015 du 21 décembre 2015</w:t>
      </w:r>
    </w:p>
    <w:p>
      <w:r>
        <w:t>IT: TF 1B_413/2015 del 21 dicembre 2015</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 dans l'ensemble de ses conclusions ( art. 107 al. 2 LTF ).</w:t>
      </w:r>
    </w:p>
    <w:p>
      <w:r>
        <w:rPr>
          <w:b/>
        </w:rPr>
        <w:t>E. 2</w:t>
      </w:r>
    </w:p>
    <w:p>
      <w:r>
        <w:t>Dans son écriture, le recourant présente certains faits qui ne ressortent pas de l'arrêt cantonal ou qui s'en écartent. Or le Tribunal fédéral statue en principe sur la base des faits établis par l'autorité précédente ( art. 105 al. 1 LTF ), sous réserve des cas prévus à l' art. 105 al. 2 LTF . Selon l' art. 97 al. 1 LTF , le recourant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ATF 137 I 58 consid. 4.1.2 p. 62).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soutient que le traitement ambulatoire contraint, de type psychiatrique intégré, préconisé par les experts constitue une mesure de substitution suffisante pour prévenir tout danger de récidive.</w:t>
      </w:r>
    </w:p>
    <w:p>
      <w:r>
        <w:rPr>
          <w:b/>
        </w:rPr>
        <w:t>E. 3.1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let . f CPP, fait notamment partie des mesures de substitution l'obligation de se soumettre à un traitement médical ou à des contrôles.</w:t>
      </w:r>
    </w:p>
    <w:p>
      <w:r>
        <w:rPr>
          <w:b/>
        </w:rPr>
        <w:t>E. 3.2</w:t>
      </w:r>
    </w:p>
    <w:p>
      <w:r>
        <w:t>A titre liminaire, il convient de relever que le recourant ne conteste pas l'existence d'un risque élevé de récidive s'il ne fait pas l'objet d'un traitement ambulatoire contraint, de type psychiatrique intégré, auprès de thérapeutes spécialisés dans le champ des infractions sexuelles. Contrairement à ce que soutient le recourant, le risque de réitération porte également sur des agissements susceptibles de mettre en danger l'intégrité sexuelle de la victime, comme l'a confirmé à deux reprises le Tribunal de céans (arrêts 1B_61/2015 du 19 mars 2015 consid. 4 et 1B_266/2015 du 28 août 2015 consid. 2.3). L'intéressé perd en effet de vue qu'il a incité des tiers à enlever la victime et à l'agresser sexuellement, en utilisant au besoin des armes, et que ces incitations ont été suivies d'un début d'exécution. En affirmant que l'accusation ne porterait "que sur des actes virtuels sur internet", le recourant paraît d'ailleurs ne toujours pas avoir pris conscience de la gravité des charges portées à son encontre.</w:t>
      </w:r>
    </w:p>
    <w:p>
      <w:r>
        <w:rPr>
          <w:b/>
        </w:rPr>
        <w:t>E. 3.3</w:t>
      </w:r>
    </w:p>
    <w:p>
      <w:r>
        <w:t>Concernant la mesure de substitution proposée par le recourant, le Tribunal cantonal a considéré que, vu la minceur des progrès accomplis par celui-ci, on pouvait très sérieusement douter que même un traitement idoine soit de nature à produire rapidement des bénéfices tels qu'il écarterait tout risque de réitération. Le complément d'expertise relevait d'ailleurs que les effets éventuels du suivi psychiatrique préconisé ne pourraient, au mieux, se manifester qu'après un certain temps. L'instance précédente a en outre relevé que le traitement psychiatrique pouvait débuter en prison.</w:t>
      </w:r>
    </w:p>
    <w:p>
      <w:r>
        <w:t>Le recourant critique cette appréciation. Il soutient que le risque de réitération peut être pallié par le traitement ambulatoire préconisé par les experts, lequel comprend un suivi réalisé par un thérapeute spécialiste de la délinquance sexuelle. Il affirme que dans la mesure où le Service médical de la prison ne dispose d'aucun thérapeute spécialisé dans ce domaine, il devrait être libéré afin de pouvoir se soumettre au traitement recommandé. Dans ce contexte, il se plaint de manière confuse d'un déni de justice et d'une violation de son droit à la preuve en tant que le Tribunal cantonal n'aurait pas vérifié, malgré une requête formulée dans ce sens, la disponibilité des thérapeutes spécialisés.</w:t>
      </w:r>
    </w:p>
    <w:p>
      <w:r>
        <w:t>Les arguments invoqués par le recourant ne permettent cependant pas de remettre en cause l'appréciation de l'instance précédente. En l'occurrence, le recourant bénéficie depuis le 9 janvier 2015 d'une prise en charge psychiatrique intégrée auprès du service médical de la prison; ce service précise que, pour poser le cadre du suivi et les objectifs thérapeutiques, l'intéressé a été évalué cliniquement et à l'aide d'un questionnaire spécifique aux auteurs d'infraction à caractère sexuel (cf. courrier du 22 octobre 2015). Certes, l'arrêt entrepris ne précise pas si le recourant bénéficie dans ce cadre de l'aide d'un thérapeute spécialisé dans le domaine des infractions sexuelles, comme recommandé par les experts. Le Tribunal cantonal a considéré sur ce point qu'il ne lui appartenait pas d'apprécier la disponibilité pratique des soignants concernés, rejetant ainsi la requête formulée dans ce sens par le recourant. Quoi qu'en pense l'intéressé, cet élément n'est pas décisif en l'état pour se prononcer sur le bien-fondé de la présente décision de maintien en détention provisoire. En effet, la seule mise en place du traitement médical préconisé par les experts - qui comprendrait également le soutien d'un thérapeute spécialisé en matière d'infraction sexuelle - ne saurait, dans tous les cas, conduire aussitôt à la libération du prévenu. Comme déjà relevé par le Tribunal fédéral, l'efficacité d'un tel traitement ambulatoire - dont on ignore au demeurant les modalités exactes d'exécution - ne serait en tout cas pas immédiate (arrêt 1B_266/2015 consid. 2.3); les experts ont d'ailleurs expressément souligné, dans leur rapport complémentaire du 8 octobre 2015, que le suivi thérapeutique devra probablement s'étendre sur plusieurs années pour participer à la réduction du risque de récidive. Ainsi, à supposer recevable, la critique du recourant quant au fait que le Tribunal cantonal n'a pas examiné la disponibilité pratique des thérapeutes spécialisés tombe à faux.</w:t>
      </w:r>
    </w:p>
    <w:p>
      <w:r>
        <w:t>Le recourant soutient en outre à tort que le traitement préconisé doit être fait en liberté pour être pleinement profitable. Il méconnaît en effet que les experts ont expressément indiqué que ce traitement pouvait débuter en prison. Par ailleurs, comme déjà indiqué par le Tribunal fédéral (arrêt 1B_266/2015 consid. 2.3), il convient de s'assurer de l'efficacité du traitement avant d'envisager une libération du prévenu. Tant que des résultats tangibles n'auront pas été constatés du point de vue de la diminution du risque de récidive, une libération apparaît prématurée.</w:t>
      </w:r>
    </w:p>
    <w:p>
      <w:r>
        <w:t>Enfin, à l'instar de l'instance précédente, il y a lieu de considérer que les maux de dos dont souffre le recourant ne sont pas de nature à réduire le risque de réitération et ne sauraient conduire à sa libération; sur ce point, il peut être renvoyé à l'argumentation convaincante développée par l'instance précédente ( art. 109 al. 3 LTF ).</w:t>
      </w:r>
    </w:p>
    <w:p>
      <w:r>
        <w:rPr>
          <w:b/>
        </w:rPr>
        <w:t>E. 3.4</w:t>
      </w:r>
    </w:p>
    <w:p>
      <w:r>
        <w:t>Le recourant n'a en l'occurrence apporté aucun élément nouveau permettant une appréciation différente de la situation moins de quatre mois après l'arrêt 1B_266/2015 rendu le 28 août 2015 par le Tribunal fédéral. Par conséquent, l'arrêt cantonal qui confirme le maintien en détention du recourant ne viole pas le droit fédéral.</w:t>
      </w:r>
    </w:p>
    <w:p>
      <w:r>
        <w:rPr>
          <w:b/>
        </w:rPr>
        <w:t>E. 4</w:t>
      </w:r>
    </w:p>
    <w:p>
      <w:r>
        <w:t>Sur le vu de ce qui précède, le recours doit être rejeté dans la mesure de sa recevabilité. Le recourant a demandé l'assistance judiciaire. Compte tenu des conclusions de l'expertise, le recours ne peut être considéré comme d'emblée voué à l'échec. L'assistance judiciaire peut dès lors être accordée; Me Kathrin Gruber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