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411/2012 vom 11. Juli 2012</w:t>
      </w:r>
    </w:p>
    <w:p>
      <w:r>
        <w:t>Bundesgericht, 2012-07-11, DE</w:t>
      </w:r>
    </w:p>
    <w:p>
      <w:r>
        <w:rPr>
          <w:b/>
        </w:rPr>
        <w:t xml:space="preserve">Quelle: </w:t>
      </w:r>
      <w:r>
        <w:t>https://mcp.opencaselaw.ch/entscheid/bger_1B_411_2012</w:t>
      </w:r>
    </w:p>
    <w:p>
      <w:r>
        <w:t>FR: TF 1B 411/2012 du 11 juillet 2012</w:t>
      </w:r>
    </w:p>
    <w:p>
      <w:r>
        <w:t>IT: TF 1B 411/2012 del 11 luglio 2012</w:t>
      </w:r>
    </w:p>
    <w:p>
      <w:pPr>
        <w:pStyle w:val="Heading2"/>
      </w:pPr>
      <w:r>
        <w:t>Regeste</w:t>
      </w:r>
    </w:p>
    <w:p>
      <w:r>
        <w:t>Strafverfahren; Nichtanhandnahme; Prozessunfähigkeit | Strafprozess</w:t>
      </w:r>
    </w:p>
    <w:p>
      <w:pPr>
        <w:pStyle w:val="Heading2"/>
      </w:pPr>
      <w:r>
        <w:t>Erwägungen</w:t>
      </w:r>
    </w:p>
    <w:p>
      <w:r>
        <w:rPr>
          <w:b/>
        </w:rPr>
        <w:t>E. 1</w:t>
      </w:r>
    </w:p>
    <w:p>
      <w:r>
        <w:t>Der zuständige Staatsanwalt der Regionalen Staatsanwaltschaft Bern- Mittelland nahm mit Verfügung vom 12. Juni 2012 die Anzeige von X.________ gegen Verwaltungsrichter Y.________ wegen Amtsmissbrauchs, Verleumdung und weiterer Vergehen wegen offensichtlicher Unbegründetheit nicht an die Hand. Dagegen erhob X.________ Beschwerde und beantragte die Aufhebung der angefochtenen Verfügung. Gleichzeitig verlangte er die Einleitung eines Strafverfahrens gegen den Staatsanwalt, welcher die Nichtanhandnahmeverfügung erlassen hatte. Die Beschwerdekammer in Strafsachen des Obergerichts des Kantons Bern trat mit Beschluss vom 3. Juli 2012 auf die Beschwerde wegen Prozessunfähigkeit nicht ein. Zur Begründung führte die Beschwerdekammer zusammenfassend aus, dass dem Beschwerdeführer in einem Strafverfahren gegen Beamte oder Behördenmitglieder bereits mit Entscheid der damaligen Anklagekammer vom 18. Januar 2010 die Prozessfähigkeit aberkannt worden sei. Im Entscheid vom 3. August 2011 habe die Beschwerdekammer ausgeführt, dass ein grosser Anteil der vom Beschwerdeführer in den letzten Jahren eingereichten Strafanzeigen gegen Beamte oder Behördenmitglieder gerichtet waren, welche nicht genau in seinem Sinne entschieden hatten. Die Kammer werde in ähnlichen Fällen die Prozessfähigkeit erneut prüfen. Im vorliegenden Fall sei die Konstellation der Prozessunfähigkeit erneut gegeben. Der Beschwerdeführer wiederhole das erwähnte Muster, wonach er richterliche Entscheidungen in Straftaten umfunktionieren wolle. Es müsse ihm deshalb für den vorliegenden Fall die Prozessfähigkeit abgesprochen werden. Daran ändere nichts, dass das Regionalgericht Berner Jura-Seeland mit Entscheid vom 5. Januar 2012 einen Antrag auf Entmündigung des Beschwerdeführers abgewiesen habe.</w:t>
      </w:r>
    </w:p>
    <w:p>
      <w:r>
        <w:rPr>
          <w:b/>
        </w:rPr>
        <w:t>E. 2</w:t>
      </w:r>
    </w:p>
    <w:p>
      <w:r>
        <w:t>X.________ führt mit Eingabe vom 9. Juli 2012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Der Beschwerdeführer, der keinen zulässigen Beschwerdegrund nennt, vermag mit seinem blossen Hinweis auf ein psychiatrisches Gutachten nicht aufzuzeigen, inwiefern ihm die Beschwerdekammer im Beschwerdeverfahren gegen die Nichtanhandnahmeverfügung vom 12. Juni 2012 in rechts- bzw. verfassungswidriger Weise die Prozessfähigkeit abgesprochen haben sollte.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