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1B_411/2011 vom 31. August 2011</w:t>
      </w:r>
    </w:p>
    <w:p>
      <w:r>
        <w:t>Bundesgericht, 2011-08-31, FR</w:t>
      </w:r>
    </w:p>
    <w:p>
      <w:r>
        <w:rPr>
          <w:b/>
        </w:rPr>
        <w:t xml:space="preserve">Quelle: </w:t>
      </w:r>
      <w:r>
        <w:t>https://mcp.opencaselaw.ch/entscheid/bger_1B_411_2011</w:t>
      </w:r>
    </w:p>
    <w:p>
      <w:r>
        <w:t>FR: TF 1B_411/2011 du 31 août 2011</w:t>
      </w:r>
    </w:p>
    <w:p>
      <w:r>
        <w:t>IT: TF 1B_411/2011 del 31 agosto 2011</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conteste d'abord l'existence d'un risque de fuite.</w:t>
      </w:r>
    </w:p>
    <w:p>
      <w:r>
        <w:rPr>
          <w:b/>
        </w:rPr>
        <w:t>E. 3.1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3.2</w:t>
      </w:r>
    </w:p>
    <w:p>
      <w:r>
        <w:t>Selon le Tribunal cantonal, le risque de fuite serait concret car le recourant fait l'objet d'une interdiction d'entrée en Suisse pour une durée indéterminée et parce qu'il serait domicilié en France, où il exercerait une activité lucrative. La présence en Suisse de sa mère, avec laquelle il aurait de bonnes relations, ne serait pas suffisant pour pallier ce risque, le recourant pouvant se soustraire à la justice sans forcément quitter le pays. Le Tribunal cantonal mentionne encore à cet égard une autre instruction en cours contre l'intéressé pour diverses infractions. Cependant, il n'apparaît pas que la détention litigieuse ait été ordonnée pour les besoins de cette autre enquête, dans le cadre de laquelle le recourant semble également avoir subi de la détention provisoire; les autorités précédentes ne mentionnent pas une éventuelle jonction de causes.</w:t>
      </w:r>
    </w:p>
    <w:p>
      <w:r>
        <w:t>Les infractions faisant l'objet de la présente procédure ne revêtent certes pas une gravité particulière. Il n'en demeure pas moins que le recourant, qui est toujours actuellement interdit d'entrée en Suisse pour une durée indéterminée, travaille et réside en France, à une adresse inconnue, de sorte que la tentation de prendre la fuite à l'étranger ou de rester clandestinement en Suisse pour se soustraire à la justice ne peut être sous-estimée, quand bien même la mère du recourant habite en Suisse. Le risque de fuite ne saurait être écarté, de sorte qu'il n'y a pas lieu de rechercher si le maintien en détention peut également être motivé par un risque de récidive, comme le retient l'arrêt attaqué.</w:t>
      </w:r>
    </w:p>
    <w:p>
      <w:r>
        <w:rPr>
          <w:b/>
        </w:rPr>
        <w:t>E. 4</w:t>
      </w:r>
    </w:p>
    <w:p>
      <w:r>
        <w:t>Cela étant, il convient d'examiner si le maintien en détention respecte le principe de la proportionnalité, ce que conteste le recourant.</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w:t>
      </w:r>
    </w:p>
    <w:p>
      <w:r>
        <w:t>Le principe de la proportionnalité impose en outre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4.2</w:t>
      </w:r>
    </w:p>
    <w:p>
      <w:r>
        <w:t>Le recourant se trouve en détention depuis le 11 juin 2011. Il a donc subi à ce jour environ deux mois et demi de détention provisoire. Il n'apparaît pas qu'un jugement soit imminent, puisque deux auditions sont prévues devant le Ministère public le 27 septembre 2011 seulement. Le recourant aura alors subi plus de trois mois et demi de détention pour une prévention qui se limite en l'état à une morsure, certes relativement importante, de la main de son ex-amie et à un séjour illégal en Suisse. Dans ces conditions, la durée de la détention avant jugement risque bientôt d'approcher la durée de la peine privative de liberté à laquelle il faut s'attendre concrètement en cas de condamnation.</w:t>
      </w:r>
    </w:p>
    <w:p>
      <w:r>
        <w:t>Dans un tel cas, le principe de la proportionnalité commande aux autorités compétentes d'étudier de manière approfondie les moyens alternatifs susceptibles de remplacer la détention. Il n'est pas exclu que la fourniture de sûretés ( art. 237 al. 2 let. a CPP ) puisse entrer en considération, l'intéressé ayant déclaré lors de son audition d'arrestation qu'il réalisait un revenu de 5'000 à 6'000 fr. par mois. Il pourrait en aller de même de l'obligation de se présenter régulièrement à un service administratif ( art. 237 al. 2 let . d CPP), le cas échéant à un poste de douane proche de son domicile comme il le propose. L'assignation à résidence ou l'interdiction de se rendre dans un certain lieu ou un certain immeuble ( art. 237 al. 2 let . c CPP) pourrait aussi être examinée, cette mesure ayant l'avantage de parer également à un éventuel risque de récidive sur la personne de la plaignante. L'interdiction d'entretenir des relations avec certaines personnes ( art. 237 al. 2 let . g CPP) aurait par ailleurs le même effet. Ces différentes mesures peuvent en outre être combinées et leur exécution pourrait être surveillée par l'utilisation d'appareils techniques au sens de l' art. 237 al. 3 CPP .</w:t>
      </w:r>
    </w:p>
    <w:p>
      <w:r>
        <w:rPr>
          <w:b/>
        </w:rPr>
        <w:t>E. 4.3</w:t>
      </w:r>
    </w:p>
    <w:p>
      <w:r>
        <w:t>Il n'appartient pas au Tribunal fédéral d'examiner pour la première fois les mesures qui pourraient, cas échéant, entrer en considération et les modalités pratiques de leur mise en oeuvre. La cause doit donc être renvoyée au tribunal compétent - en l'espèce le Tribunal des mesures de contrainte - pour qu'il statue en première instance sur ce point.</w:t>
      </w:r>
    </w:p>
    <w:p>
      <w:r>
        <w:rPr>
          <w:b/>
        </w:rPr>
        <w:t>E. 5</w:t>
      </w:r>
    </w:p>
    <w:p>
      <w:r>
        <w:t>Lorsque le Tribunal fédéral constate que la procédure de maintien en détention n'a pas satisfait aux garanties constitutionnelles ou conventionnelles en cause, il n'en résulte pas obligatoirement que le prévenu doive être immédiatement remis en liberté ( ATF 116 Ia 60 consid. 3b p. 64; 115 Ia 293 consid. 5g p. 308; 114 Ia 88 consid. 5d p. 93). Une telle issue ne se justifie pas en l'espèce, dès lors que le maintien en détention reste justifié au moins par un risque de fuite en attendant que l'autorité compétente statue - à brève échéance - sur d'éventuelles mesures de substitution à la détention. La conclusion tendant à la libération immédiate du recourant doit donc être rejetée.</w:t>
      </w:r>
    </w:p>
    <w:p>
      <w:r>
        <w:rPr>
          <w:b/>
        </w:rPr>
        <w:t>E. 6</w:t>
      </w:r>
    </w:p>
    <w:p>
      <w:r>
        <w:t>Il s'ensuit que le recours est admis partiellement et l'arrêt attaqué annulé. La cause est renvoyée au Tribunal des mesures de contrainte pour nouvelle décision dans le sens des considérants. Il n'y a pas lieu de percevoir de frais judiciaires ( art. 66 al. 4 LTF ). L'Etat de Vaud versera en revanche une indemnité de dépens au recourant, qui obtient partiellement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