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410/2010 vom 23. Dezember 2010</w:t>
      </w:r>
    </w:p>
    <w:p>
      <w:r>
        <w:t>Bundesgericht, 2010-12-23, FR</w:t>
      </w:r>
    </w:p>
    <w:p>
      <w:r>
        <w:rPr>
          <w:b/>
        </w:rPr>
        <w:t xml:space="preserve">Quelle: </w:t>
      </w:r>
      <w:r>
        <w:t>https://mcp.opencaselaw.ch/entscheid/bger_1B_410_2010</w:t>
      </w:r>
    </w:p>
    <w:p>
      <w:r>
        <w:t>FR: TF 1B 410/2010 du 23 décembre 2010</w:t>
      </w:r>
    </w:p>
    <w:p>
      <w:r>
        <w:t>IT: TF 1B 410/2010 del 23 dicembre 2010</w:t>
      </w:r>
    </w:p>
    <w:p>
      <w:pPr>
        <w:pStyle w:val="Heading2"/>
      </w:pPr>
      <w:r>
        <w:t>Regeste</w:t>
      </w:r>
    </w:p>
    <w:p>
      <w:r>
        <w:t>détention avant jugement | Procédure pénale</w:t>
      </w:r>
    </w:p>
    <w:p>
      <w:pPr>
        <w:pStyle w:val="Heading2"/>
      </w:pPr>
      <w:r>
        <w:t>Erwägungen</w:t>
      </w:r>
    </w:p>
    <w:p>
      <w:r>
        <w:rPr>
          <w:b/>
        </w:rPr>
        <w:t>E. 1</w:t>
      </w:r>
    </w:p>
    <w:p>
      <w:r>
        <w:t>Le recourant n'a pas indiqué par quelle voie de recours il procède auprès du Tribunal fédéral. Toutefois, cette imprécision ne saurait lui nuire si son recours remplit les exigences légales de la voie de droit qui lui est ouverte (au sujet d'une voie erronée de recours, ATF 133 I 300 consid. 1.2 p. 302/303, 308 consid. 4.1 p. 314). Le recours en matière pénale ( art. 78 al. 1 LTF ) est en principe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Le recourant soutient qu'il n'y a jamais eu "une enquête complémentaire du soi-disant 20 octobre 2010 par un juge d'instruction". Il n'aurait par ailleurs jamais reçu cette ordonnance.</w:t>
      </w:r>
    </w:p>
    <w:p>
      <w:r>
        <w:rPr>
          <w:b/>
        </w:rPr>
        <w:t>E. 2.1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w:t>
      </w:r>
    </w:p>
    <w:p>
      <w:r>
        <w:rPr>
          <w:b/>
        </w:rPr>
        <w:t>E. 2.2</w:t>
      </w:r>
    </w:p>
    <w:p>
      <w:r>
        <w:t>Il ressort du dossier que, par ordonnance de renvoi complémentaire du 20 octobre 2010, le Juge d'instruction a renvoyé le recourant devant le Juge de police pour infraction à la loi fédérale sur les étrangers. Cette ordonnance a été notifiée au recourant à la prison centrale, sous pli simple. C'est d'ailleurs sur la base de cette ordonnance que le Juge de police a rendu son jugement le 2 novembre 2010. Contrairement à ce que semble croire le recourant, l'acte du 20 octobre 2010 n'ordonne pas l'ouverture d'une enquête complémentaire; il s'agit d'une simple ordonnance de renvoi. Dans ces conditions, il n'apparaît pas que les faits retenus dans l'arrêt attaqué ont été constatés de façon manifestement inexacte et le Tribunal fédéral est lié par ceux-ci conformément à l' art. 105 al. 1 LTF .</w:t>
      </w:r>
    </w:p>
    <w:p>
      <w:r>
        <w:rPr>
          <w:b/>
        </w:rPr>
        <w:t>E. 3</w:t>
      </w:r>
    </w:p>
    <w:p>
      <w:r>
        <w:t>L'intéressé fait valoir que, sa peine n'étant ni définitive, ni exécutoire, sa détention est illégale. Il semblerait en effet qu'il a fait recours contre le jugement pénal du 2 novembre 2010 et que la procédure n'est pas encore close. Une mesure de détention préventive (ou de détention avant jugement) n'est compatible avec la liberté personnelle, garantie par les art. 10 al. 2 Cst. et 5 CEDH, que si elle repose sur une base légale (art. 31 al. 1 et 36 al. 1 Cst.), soit en l'espèce l'art. 110 du code de procédure pénale fribourgeois (CPP/FR).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110 al. 1 let. a à c CPP/FR).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arrêt 1B_63/2007 du 11 mai 2007 consid. 3 non publié in ATF 133 I 168 ; art. 110 al. 1 in initio CPP/FR).</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4.2</w:t>
      </w:r>
    </w:p>
    <w:p>
      <w:r>
        <w:t>Le recourant ne conteste pas l'existence de charges suffisantes à son encontre. Il ressort d'ailleurs du jugement de la police d'arrondissement de la Sarine du 2 novembre 2010 qu'il a résidé en Suisse sans autorisation de séjour du 21 mai 2008 au 6 octobre 2010, en infraction à la législation sur les étrangers. Ces éléments sont suffisants pour justifier son maintien en détention, ce d'autant que le recourant a été condamné pour ces faits à une peine privative de liberté ferme de 90 jours. Le prévenu explique qu'il n'a plus de papiers d'identité; il apparaît par ailleurs que son renvoi ne peut actuellement être exécuté. Il convient toutefois de relever à cet égard qu'il n'appartient pas au juge de la détention, mais à celui du fond, d'apprécier la situation particulière et la culpabilité du recourant. En effet, le juge de la détention peut se contenter de vérifier s'il existe des indices sérieux de culpabilité justifiant une telle mesure (cf. consid. 4.1 ci-dessus), ce qui est le cas en l'espèce.</w:t>
      </w:r>
    </w:p>
    <w:p>
      <w:r>
        <w:rPr>
          <w:b/>
        </w:rPr>
        <w:t>E. 5</w:t>
      </w:r>
    </w:p>
    <w:p>
      <w:r>
        <w:t>Le maintien en détention du recourant se fonde principalement sur le risque de fuite. La Chambre pénale a retenu que le prévenu était un requérant d'asile débouté et renvoyé du territoire suisse, ressortissant d'Algérie, sans profession ni revenu en Suisse, ni autorisation de séjour. Il s'était par ailleurs évadé des Établissements pénitentiaires de Bellechasse le 21 août 2009 et n'avait pas acquitté, dans le délai imparti, la peine pécuniaire de 30 jours-amende prononcée à son encontre le 22 août 2009. Ces éléments, non contestés par le recourant, suffisent à admettre un risque de fuite. Dans ces conditions, la question de savoir si le manque de coopération qui lui est reproché constitue un indice de soustraction à la justice peut rester indécise. Le recourant ne se plaint en outre pas de la durée sa détention, qui dure depuis bientôt deux mois et apparaît encore proportionnée, eu égard à la peine privative de liberté de 90 jours à laquelle il a été condamné le 2 novembre 2010.</w:t>
      </w:r>
    </w:p>
    <w:p>
      <w:r>
        <w:rPr>
          <w:b/>
        </w:rPr>
        <w:t>E. 6</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