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1B_40/2009 vom 2. März 2009</w:t>
      </w:r>
    </w:p>
    <w:p>
      <w:r>
        <w:t>Bundesgericht, 2009-03-02, FR</w:t>
      </w:r>
    </w:p>
    <w:p>
      <w:r>
        <w:rPr>
          <w:b/>
        </w:rPr>
        <w:t xml:space="preserve">Quelle: </w:t>
      </w:r>
      <w:r>
        <w:t>https://mcp.opencaselaw.ch/entscheid/bger_1B_40_2009</w:t>
      </w:r>
    </w:p>
    <w:p>
      <w:r>
        <w:t>FR: TF 1B_40/2009 du 2 mars 2009</w:t>
      </w:r>
    </w:p>
    <w:p>
      <w:r>
        <w:t>IT: TF 1B_40/2009 del 2 marzo 2009</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Pour le surplus,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(cf.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En l'espèce, le recourant, à juste titre, ne remet pas en cause la base légale de la détention, ni l'existence de charges suffisantes à son encontre. Il soutient en revanche que son maintien en détention ne peut pas se fonder sur les besoins de l'instruction liés aux risques de récidive, de collusion et de fuite.</w:t>
      </w:r>
    </w:p>
    <w:p>
      <w:r>
        <w:rPr>
          <w:b/>
        </w:rPr>
        <w:t>E. 3.1</w:t>
      </w:r>
    </w:p>
    <w:p>
      <w:r>
        <w:t>Selon la jurisprudence, le maintien en détention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w:t>
      </w:r>
    </w:p>
    <w:p>
      <w:r>
        <w:t>En l'occurrence, les actes reprochés au recourant sont particulièrement graves, s'agissant d'abus sexuels, de viols et d'incestes commis sur ses filles alors âgées de dix et treize ans. Ces atteintes à l'intégrité sexuelle auraient été commises pendant de nombreuses années et auraient conduit à des grossesses pour l'une des filles. De plus, l'intéressé semble avoir un comportement impulsif et violent: il a déjà été condamné pour des actes de violence en 2005. S'ajoute à cela le fait que l'un des motifs du dépôt de la plainte et des déclarations des filles aînées était de protéger leur soeur, la fille cadette du recourant âgée de sept ans. Dans ces circonstances, vu en particulier la gravité des actes reprochés au recourant, le fait que les deux filles aînées habitent dans un foyer et que la troisième fille a été placée sous la protection du Service de protection des mineurs et pourvue d'une curatrice, tout comme le fait que le recourant n'aurait plus commis d'abus sexuel depuis 2004 ni d'actes de violences conjugales depuis 2005, ne sont pas suffisants pour écarter le risque de récidive. Par conséquent, il y a lieu de considérer que l'existence d'un risque de réitération est établie avec suffisamment de vraisemblance, du moins à ce stade de la procédure où tous les témoins n'ont pas encore été entendus.</w:t>
      </w:r>
    </w:p>
    <w:p>
      <w:r>
        <w:rPr>
          <w:b/>
        </w:rPr>
        <w:t>E. 3.2</w:t>
      </w:r>
    </w:p>
    <w:p>
      <w:r>
        <w:t>Le maintien du prévenu en détention peut être justifié par l'intérêt public lié aux besoins de l'instruction en cours. Tel est le cas par exemple lorsqu'il est à craindre que l'intéressé ne mette sa liberté à profit pour faire disparaître ou altérer les preuves, ou pour prendre contact avec des témoins ou d'autres prévenus, afin de tenter d'influencer leurs déclarations ( ATF 132 I 21 consid. 3.2 p. 23; 128 I 149 consid. 2.1 p. 151 et les arrêts cités). Le danger de collusion est en règle générale plus important au début d'une procédure pénale ( ATF 107 Ia 138 consid. 4g p. 144). On ne saurait toutefois se contenter d'un risque de collusion abstrait, car ce risque est inhérent à toute procédure pénale en cours et doit, pour permettre à lui seul le maintien en détention préventive, présenter une certaine vraisemblance. L'autorité doit ainsi indiquer, au moins dans les grandes lignes et sous réserve des opérations à conserver secrètes, quels actes d'instruction elle doit encore effectuer et en quoi la libération du prévenu en compromettrait l'accomplissement ( ATF 132 I 21 consid. 3.2 p. 23; 128 I 149 consid. 2.1 p. 151 et les arrêts cités).</w:t>
      </w:r>
    </w:p>
    <w:p>
      <w:r>
        <w:t>En l'espèce, l'instruction n'en est qu'à ses débuts et le danger de collusion est en règle générale plus important à ce stade de la procédure pénale, ce que le recourant ne conteste pas. Il est vrai que les filles du recourant se sont partiellement rétractées. Cependant, comme l'a relevé la Chambre d'accusation, leurs rétractations partielles peuvent être relativisées à ce stade de la procédure, dans la mesure où elles ont été recueillies dans un contexte particulier, alors que leur mère était en détention préventive. Il est possible qu'elles aient été impressionnées par l'arrestation de leur mère et qu'elles se soient principalement préoccupées de la libération de celle-ci. De plus, vu la gravité des accusations que les filles ont portées à l'encontre de leur père, il est nécessaire qu'elles puissent s'exprimer dans la suite de la procédure sans subir de pressions de la part de ce dernier. Il n'est pas exclu qu'elles soient à nouveau entendues suite aux auditions des médecins, des enseignants et des assistants sociaux. Il y a donc lieu de s'assurer que le recourant, qui s'est déjà montré violent envers son épouse et qui, selon les déclarations de ses filles, les aurait frappées et menacées, ne puisse pas tenter d'influencer leurs déclarations. Ce risque ne saurait être pallié par le simple engagement du recourant de ne pas réintégrer l'appartement familial, ni par le fait que les filles habitent dans un foyer et que l'une d'elles est pourvue d'une curatrice. Le risque de collusion apparaît dès lors suffisant, en l'état, pour justifier le maintien en détention.</w:t>
      </w:r>
    </w:p>
    <w:p>
      <w:r>
        <w:rPr>
          <w:b/>
        </w:rPr>
        <w:t>E. 3.3</w:t>
      </w:r>
    </w:p>
    <w:p>
      <w:r>
        <w:t>Le maintien de la détention préventive étant justifié par des risques de récidive et de collusion, il n'y a pas lieu d'examiner si cette mesure s'impose également en raison d'un risque de fuite, comme l'a retenu la Chambre d'accusation.</w:t>
      </w:r>
    </w:p>
    <w:p>
      <w:r>
        <w:rPr>
          <w:b/>
        </w:rPr>
        <w:t>E. 4</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Dario Nikolic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