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409/2022 vom 14. September 2022</w:t>
      </w:r>
    </w:p>
    <w:p>
      <w:r>
        <w:t>Bundesgericht, 2022-09-14, FR</w:t>
      </w:r>
    </w:p>
    <w:p>
      <w:r>
        <w:rPr>
          <w:b/>
        </w:rPr>
        <w:t xml:space="preserve">Quelle: </w:t>
      </w:r>
      <w:r>
        <w:t>https://mcp.opencaselaw.ch/entscheid/bger_1B_409_2022</w:t>
      </w:r>
    </w:p>
    <w:p>
      <w:r>
        <w:t>FR: TF 1B 409/2022 du 14 septembre 2022</w:t>
      </w:r>
    </w:p>
    <w:p>
      <w:r>
        <w:t>IT: TF 1B 409/2022 del 14 settembre 2022</w:t>
      </w:r>
    </w:p>
    <w:p>
      <w:pPr>
        <w:pStyle w:val="Heading2"/>
      </w:pPr>
      <w:r>
        <w:t>Regeste</w:t>
      </w:r>
    </w:p>
    <w:p>
      <w:r>
        <w:t>Procédure pénale; refus de retranchement d'un moyen de preuve | Procédure pénale</w:t>
      </w:r>
    </w:p>
    <w:p>
      <w:pPr>
        <w:pStyle w:val="Heading2"/>
      </w:pPr>
      <w:r>
        <w:t>Erwägungen</w:t>
      </w:r>
    </w:p>
    <w:p>
      <w:r>
        <w:rPr>
          <w:b/>
        </w:rPr>
        <w:t>E. 1</w:t>
      </w:r>
    </w:p>
    <w:p>
      <w:r>
        <w:t>Dans le cadre d'une instruction ouverte contre A.________ pour actes d'ordre sexuel avec un enfant et pornographie, le prévenu a requis, le 26 avril 2022, le retranchement du procès-verbal d'audition du 25 février 2021 à partir de la sixième question, au motif que son défenseur avait alors quitté l'audience bien qu'il se trouvât dans un cas de défense obligatoire. Par ordonnance du 28 avril 2022, le Ministère public de l'arrondissement du Nord vaudois a refusé de retrancher le procès-verbal du dossier et d'administrer à nouveau la preuve. Par arrêt du 22 juin 2022, la Chambre des recours pénale du Tribunal cantonal vaudois a confirmé cette décision, considérant que si le prévenu se trouvait dans un cas de défense obligatoire, il était assisté au début de son audition et avait expressément consenti à poursuivre celle-ci après le départ de son avocat; il avait encore pu s'entretenir par téléphone avec son avocat avant d'accepter de signer le procès-verbal. La remise en cause de ce procès-verbal quatorze mois plus tard, alors que trois auditions et d'autres mesures d'instruction étaient intervenues entre temps, apparaissait contraire au principe de la bonne foi. Par lettre du 1er août 2022, A.________ produit un courrier du 14 juillet 2022 qu'il avait chargé son avocat de transmettre au Tribunal fédéral, valant recours contre l'arrêt du 22 juin 2022. Il persiste à requérir le retrait du procès-verbal d'audition du 25 février 2021.</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143 IV 387 consid. 4.4). Cette règle comporte toutefois des exceptions. Tel est le cas lorsque la loi prévoit expressément la restitution,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w:t>
      </w:r>
    </w:p>
    <w:p>
      <w:r>
        <w:rPr>
          <w:b/>
        </w:rPr>
        <w:t>E. 2.2</w:t>
      </w:r>
    </w:p>
    <w:p>
      <w:r>
        <w:t>En l'occurrence, le caractère inexploitable du procès-verbal du 25 février 2021 en raison d'une violation alléguée de l' art. 131 CPP ne s'impose pas d'emblée: l'avocat du recourant était présent au début de l'audition et le recourant a accepté la poursuite de l'interrogatoire après son départ. Il a encore pu conférer par téléphone avec lui avant de signer le procès-verbal. Le recourant prétend qu'après le départ de son avocat, il aurait fait l'objet de pressions et de menaces de la part des policiers et aurait demandé en vain la fin de l'audition; les corrections apportées lors de la relecture n'auraient pas été apportées dans l'exemplaire final. Il s'agit là toutefois de faits nouveaux qui ne ressortent nullement de l'arrêt attaqué et sont, partant, irrecevables en vertu de l' art. 99 al. 1 LTF . L'argumentation retenue par la cour cantonale, bien que contestée par le recourant, n'en est pas moins solidement étayée et ne consacre pas une violation manifeste du droit fédéral qui s'imposerait d'emblée. Le recourant doit donc être renvoyé à faire valoir ses objections à ce sujet devant le juge du fond.</w:t>
      </w:r>
    </w:p>
    <w:p>
      <w:r>
        <w:rPr>
          <w:b/>
        </w:rPr>
        <w:t>E. 3</w:t>
      </w:r>
    </w:p>
    <w:p>
      <w:r>
        <w:t>Sur le vu de ce qui précède, le recours est irrecevable. Conformément à l' art. 66 al. 1 LTF , les frais judiciaires sont mis à la charge du recourant qui succombe. Le présent arrêt est rendu selon la procédure simplifiée prévue à l' art. 108 al. 1 let. a et al. 2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