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408/2020 vom 12. August 2020</w:t>
      </w:r>
    </w:p>
    <w:p>
      <w:r>
        <w:t>Bundesgericht, 2020-08-12, DE</w:t>
      </w:r>
    </w:p>
    <w:p>
      <w:r>
        <w:rPr>
          <w:b/>
        </w:rPr>
        <w:t xml:space="preserve">Quelle: </w:t>
      </w:r>
      <w:r>
        <w:t>https://mcp.opencaselaw.ch/entscheid/bger_1B_408_2020</w:t>
      </w:r>
    </w:p>
    <w:p>
      <w:r>
        <w:t>FR: TF 1B 408/2020 du 12 août 2020</w:t>
      </w:r>
    </w:p>
    <w:p>
      <w:r>
        <w:t>IT: TF 1B 408/2020 del 12 agosto 2020</w:t>
      </w:r>
    </w:p>
    <w:p>
      <w:pPr>
        <w:pStyle w:val="Heading2"/>
      </w:pPr>
      <w:r>
        <w:t>Regeste</w:t>
      </w:r>
    </w:p>
    <w:p>
      <w:r>
        <w:t>Strafverfahren; unentgeltliche Rechtspflege | Strafprozess</w:t>
      </w:r>
    </w:p>
    <w:p>
      <w:pPr>
        <w:pStyle w:val="Heading2"/>
      </w:pPr>
      <w:r>
        <w:t>Erwägungen</w:t>
      </w:r>
    </w:p>
    <w:p>
      <w:r>
        <w:rPr>
          <w:b/>
        </w:rPr>
        <w:t>E. 1</w:t>
      </w:r>
    </w:p>
    <w:p>
      <w:r>
        <w:t>A.________ erhob Beschwerde gegen die Verfügung der Regionalen Staatsanwaltschaft Oberland vom 29. Juni 2020, mit welcher sein Gesuch als Straf- und Zivilkläger um Wiederaufnahme des Verfahrens abgewiesen wurde. Die Beschwerdekammer in Strafsachen des Obergerichts des Kantons Bern forderte ihn mit Verfügung vom 14. Juli 2020 zur Leistung einer Sicherheit von Fr. 1'200.-- auf. Am 16. Juli 2020 stellte A.________ ein "Gesuch um Ratenzahlung/Reduzierung der Sicherheitsleistung". Mit Verfügung vom 20. Juli 2020 forderte ihn die Beschwerdekammer in Strafsachen auf, sein Gesuch zu belegen. In der Folge stellte A.________ am 23. Juli 2020 ein "Gesuch um unentgeltliche Rechtspflege/Aufhebung der Sicherheitsleistung". Die Beschwerdekammer in Strafsachen des Obergerichts des Kantons Bern wies mit Verfügung vom 24. Juli 2020 das Gesuch um Erteilung der unentgeltlichen Rechtspflege/Aufhebung der Sicherheitsleistung ab und hiess das Gesuch um Ratenzahlung gut. Zur Begründung führte die Beschwerdekammer in Strafsachen zusammenfassend aus, A.________ vermöge nicht aufzuzeigen, dass seine Begehren nicht aussichtslos seien.</w:t>
      </w:r>
    </w:p>
    <w:p>
      <w:r>
        <w:rPr>
          <w:b/>
        </w:rPr>
        <w:t>E. 2</w:t>
      </w:r>
    </w:p>
    <w:p>
      <w:r>
        <w:t>A.________ führt mit Eingabe vom 10. August 2020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vermag mit seinen Ausführungen nicht nachvollziehbar aufzuzeigen, dass die Beschwerdekammer in Strafsachen Recht im Sinne von Art. 42 Abs. 2 BGG verletzt hätte, als sie sein Gesuch um unentgeltliche Rechtspflege abwies. Er legt nicht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