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1B_407/2021 vom 28. Juli 2021</w:t>
      </w:r>
    </w:p>
    <w:p>
      <w:r>
        <w:t>Bundesgericht, 2021-07-28, DE</w:t>
      </w:r>
    </w:p>
    <w:p>
      <w:r>
        <w:rPr>
          <w:b/>
        </w:rPr>
        <w:t xml:space="preserve">Quelle: </w:t>
      </w:r>
      <w:r>
        <w:t>https://mcp.opencaselaw.ch/entscheid/bger_1B_407_2021</w:t>
      </w:r>
    </w:p>
    <w:p>
      <w:r>
        <w:t>FR: TF 1B_407/2021 du 28 juillet 2021</w:t>
      </w:r>
    </w:p>
    <w:p>
      <w:r>
        <w:t>IT: TF 1B_407/2021 del 28 luglio 2021</w:t>
      </w:r>
    </w:p>
    <w:p>
      <w:pPr>
        <w:pStyle w:val="Heading2"/>
      </w:pPr>
      <w:r>
        <w:t>Erwägungen</w:t>
      </w:r>
    </w:p>
    <w:p>
      <w:r>
        <w:rPr>
          <w:b/>
        </w:rPr>
        <w:t>E. 1</w:t>
      </w:r>
    </w:p>
    <w:p>
      <w:r>
        <w:t>A.________ wird im gegen ihn wegen Verbrechens gegen das Betäubungsmittelgesetz geführten Strafverfahren seit dem 30. November 2018 von Rechtsanwalt Daniel Hoffmann amtlich verteidigt. Mit Eingabe vom 5. März 2021 reichte Rechtsanwalt Daniel Walder eine Vollmacht des Beschuldigten ein und erklärte, diesen ergänzend als erbetener Verteidiger zu vertreten.</w:t>
      </w:r>
    </w:p>
    <w:p>
      <w:r>
        <w:t>Am 15. Juni 2021 widerrief das Obergericht des Kantons Zürich die amtliche Verteidigung und entliess Rechtsanwalt Hoffmann aus seinem Mandat.</w:t>
      </w:r>
    </w:p>
    <w:p>
      <w:r>
        <w:t>Mit Beschwerde in Strafsachen beantragt A.________, diese Präsidialverfügung des Obergerichts aufzuheben und die bestehenden amtliche Verteidigung beizubehalten.</w:t>
      </w:r>
    </w:p>
    <w:p>
      <w:r>
        <w:t>Vernehmlassungen wurden keine eingeholt.</w:t>
      </w:r>
    </w:p>
    <w:p>
      <w:r>
        <w:rPr>
          <w:b/>
        </w:rPr>
        <w:t>E. 2</w:t>
      </w:r>
    </w:p>
    <w:p>
      <w:r>
        <w:t>Angefochten ist ein kantonal letztinstanzlicher Entscheid, mit dem das Obergericht die amtliche Verteidigung des Beschuldigten widerrufen hat;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t>Der Beschwerdeführer macht ohne nähere Ausführungen geltend, durch den Widerruf der amtlichen Verteidigung entstehe ihm "offensichtlich" ein nicht wiedergutzumachender Nachteil, da seine Verteidigung geschwächt werde. Das trifft nicht zu, bestehen doch keinerlei Anhaltspunkte dafür, dass sein erbetener Verteidiger nicht willens oder in der Lage wäre, seine Interessen im Berufungsverfahren vollumfänglich wahrzunehmen. Es droht dem Beschwerdeführer damit durch die Entlassung des amtlichen Verteidigers kein nicht wiedergutzumachender Nachteil rechtlicher Natur, weshalb auf die Beschwerde im vereinfachten Verfahren nicht einzutreten ist.</w:t>
      </w:r>
    </w:p>
    <w:p>
      <w:r>
        <w:t>Der Beschwerdeführer hat ein Gesuch um unentgeltliche Rechtspflege und Verbeiständung gestellt. Dieses ist abzuweisen, da die Beschwerde aussichtslos war ( Art. 64 Abs. 1 und 2 BGG ). Hingegen kann ausnahmsweise auf die Erhebung von Gerichtskosten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