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1B_407/2015 vom 24. November 2015</w:t>
      </w:r>
    </w:p>
    <w:p>
      <w:r>
        <w:t>Bundesgericht, 2015-11-24, DE</w:t>
      </w:r>
    </w:p>
    <w:p>
      <w:r>
        <w:rPr>
          <w:b/>
        </w:rPr>
        <w:t xml:space="preserve">Quelle: </w:t>
      </w:r>
      <w:r>
        <w:t>https://mcp.opencaselaw.ch/entscheid/bger_1B_407_2015</w:t>
      </w:r>
    </w:p>
    <w:p>
      <w:r>
        <w:t>FR: TF 1B_407/2015 du 24 novembre 2015</w:t>
      </w:r>
    </w:p>
    <w:p>
      <w:r>
        <w:t>IT: TF 1B_407/2015 del 24 novembre 2015</w:t>
      </w:r>
    </w:p>
    <w:p>
      <w:pPr>
        <w:pStyle w:val="Heading2"/>
      </w:pPr>
      <w:r>
        <w:t>Erwägungen</w:t>
      </w:r>
    </w:p>
    <w:p>
      <w:r>
        <w:rPr>
          <w:b/>
        </w:rPr>
        <w:t>E. 1</w:t>
      </w:r>
    </w:p>
    <w:p>
      <w:r>
        <w:t>A.________ erstattete am 22. Juli 2014 bei der Staatsanwaltschaft See/Oberland Strafanzeige wegen Verleumdung, übler Nachrede etc. gegen unbekannt. Sie beanstandete verschiedene auf der Webseite www.________ von Benutzern mit den Pseudonymen "G.________", "H.________" und "I.________" veröffentlichte Äusserungen als ehrenrührig. Aufgrund des Untersuchungsgegenstandes der Internetkriminalität trat die Staatsanwaltschaft See/Oberland das Verfahren am 26. November 2014 der Staatsanwaltschaft II des Kantons Zürich, Kompetenzzentrum Cybercrime ab.</w:t>
      </w:r>
    </w:p>
    <w:p>
      <w:r>
        <w:t>Die Staatsanwaltschaft II des Kantons Zürich verlangte mit Editionsverfügung vom 3. Dezember 2014 vom Betreiber der fraglichen Webseite, B.________, die Herausgabe der Benutzerdaten bzw. Registrationspersonalien der Benutzer "G.________", "H.________" und "I.________". Hierauf gab B.________ von den Benutzern "G.________" und "I.________" verwendete IP-Adressen sowie Personalien und eine E-Mail-Adresse des erstgenannten Benutzeraccounts (C.________) bekannt. Die ergänzende Anfrage der Staatsanwaltschaft II des Kantons Zürich betreffend die Zeitstempel der mitgeteilten IP-Adressen wurde am 3. Februar 2015 an B.________ eingeschrieben versandt, die Sendung indes als nicht abgeholt retourniert. Die erhältlich gemachten Daten wurden mit Ermittlungsauftrag vom 3. Februar 2015 der Kantonspolizei Zürich zur Auswertung, Ermittlung der Anschlussinhaber und Lokalisation und Identifikation der Täterschaft übermittelt.</w:t>
      </w:r>
    </w:p>
    <w:p>
      <w:r>
        <w:rPr>
          <w:b/>
        </w:rPr>
        <w:t>E. 2</w:t>
      </w:r>
    </w:p>
    <w:p>
      <w:r>
        <w:t>A.________ erhob mit Eingabe vom 6. Juni 2015 Beschwerde wegen Rechtsverzögerung. Die III. Strafkammer des Obergerichts des Kantons Zürich wies die Beschwerde mit Beschluss vom 27. Oktober 2015 ab. Zur Begründung führte die III. Strafkammer zusammenfassend aus, dass keine Verletzung des Beschleunigungsgebots vorliege.</w:t>
      </w:r>
    </w:p>
    <w:p>
      <w:r>
        <w:rPr>
          <w:b/>
        </w:rPr>
        <w:t>E. 3</w:t>
      </w:r>
    </w:p>
    <w:p>
      <w:r>
        <w:t>Mit Eingabe vom 12. November 2015 (Postaufgabe 13. November 2015) führt A.________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In der Begründung des angefochtenen Beschlusses führt die III. Strafkammer aus, weshalb noch nicht von einer Verletzung des Beschleunigungsgebots auszugehen sei und weshalb gegenwärtig keine konkreten Untersuchungshandlungen gegen C.________ anzuordnen seien. Mit diesen Ausführungen setzt sich die Beschwerdeführerin nicht auseinander. Sie legt nicht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