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1B_407/2012 vom 21. September 2012</w:t>
      </w:r>
    </w:p>
    <w:p>
      <w:r>
        <w:t>Bundesgericht, 2012-09-21, DE</w:t>
      </w:r>
    </w:p>
    <w:p>
      <w:r>
        <w:rPr>
          <w:b/>
        </w:rPr>
        <w:t xml:space="preserve">Quelle: </w:t>
      </w:r>
      <w:r>
        <w:t>https://mcp.opencaselaw.ch/entscheid/bger_1B_407_2012</w:t>
      </w:r>
    </w:p>
    <w:p>
      <w:r>
        <w:t>FR: TF 1B_407/2012 du 21 septembre 2012</w:t>
      </w:r>
    </w:p>
    <w:p>
      <w:r>
        <w:t>IT: TF 1B_407/2012 del 21 settembre 2012</w:t>
      </w:r>
    </w:p>
    <w:p>
      <w:pPr>
        <w:pStyle w:val="Heading2"/>
      </w:pPr>
      <w:r>
        <w:t>Erwägungen</w:t>
      </w:r>
    </w:p>
    <w:p>
      <w:r>
        <w:rPr>
          <w:b/>
        </w:rPr>
        <w:t>E. 1</w:t>
      </w:r>
    </w:p>
    <w:p>
      <w:r>
        <w:t>Gemäss Art. 78 Abs. 1 in Verbindung mit Art. 80 und Art. 92 Abs. 1 BGG steht gegen kantonal letztinstanzliche Entscheide über den Ausstand von Magistratspersonen im Strafprozess direkt die Beschwerde in Strafsachen an das Bundesgericht offen. Die Person, die den Ausstand beantragt und am vorinstanzlichen Verfahren teilgenommen hat, ist nach Art. 81 Abs. 1 BGG zur Beschwerde berechtigt (vgl. das Urteil des Bundesgerichts 1B_263/2012 vom 8. Juni 2012 E. 1). Der Beschwerdeführer erfüllt diese Voraussetzungen. Auf die im Übrigen frist- und formgerecht erhobene Beschwerde ist somit einzutreten.</w:t>
      </w:r>
    </w:p>
    <w:p>
      <w:r>
        <w:rPr>
          <w:b/>
        </w:rPr>
        <w:t>E. 2.1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In Ausstandsverfahren steht das Replikrecht dem Gesuchsteller auch zu sämtlichen Stellungnahmen der Personen zu, deren Ausstand er beantragt hat (vgl. zum hier fraglichen Strafverfahren MARKUS BOOG, in: Basler Kommentar zur Schweizerischen Strafprozessordnung, Basel 2011, N. 11 zu Art. 58 StPO ; ANDREAS J. KELLER, in: Donatsch/Hansjakob/Lieber [Hrsg.], Kommentar zur Schweizerischen Strafprozessordnung [StPO], Zürich 2010, N. 8 zu Art. 59 StPO ).</w:t>
      </w:r>
    </w:p>
    <w:p>
      <w:r>
        <w:rPr>
          <w:b/>
        </w:rPr>
        <w:t>E. 2.2</w:t>
      </w:r>
    </w:p>
    <w:p>
      <w:r>
        <w:t>Nach Zustellung der Vernehmlassung ist der Partei eine gewisse Zeit zur Wahrnehmung des Replikrechts zu belassen, bevor der Entscheid gefällt wird. Die Ausübung des Replikrechts darf nicht verhindert werden, indem der Entscheid so rasch ergeht, dass eine Stellungnahme trotz Zustellung einer neuen Eingabe nicht mehr rechtzeitig erfolgen kann (MARKUS LANTER, Formeller Charakter des Replikrechts - Herkunft und Folgen, in: ZBl 113/2012, S. 173). Von einem Rechtsuchenden kann insbesondere nicht erwartet werden, dass er innert weniger Tage reagiert, wenn er Unterlagen, die von den Verfahrensbeteiligten eingereicht bzw. zu den Akten genommen werden, ohne Frist zur Stellungnahme lediglich zur Kenntnisnahme erhält (Urteil 2C_794/2008 vom 14. April 2009 E. 3). In der bundesgerichtlichen Rechtsprechung wurden etwa folgende Zeitabläufe, die einer Partei nach Zustellung einer Vernehmlassung für die Replik zur Verfügung standen, bevor der Entscheid gefällt wurde, als unzulässig beurteilt: zwei Tage (Urteil 1B_25/2010 vom 17. Februar 2010 E. 2.2), sieben Tage (Urteil 2C_794/2008 vom 14. April 2009 E. 3.5) und acht Tage (Urteil 1P.798/2005 vom 8. Februar 2006 E. 2.3). In einer etwas allgemeineren Formulierung hielt das Bundesgericht fest, dass jedenfalls vor Ablauf von zehn Tagen nicht, hingegen nach 20 Tagen von einem Verzicht auf das Replikrecht ausgegangen werden dürfe (Urteil 6B_629/2010 vom 25. November 2010 E. 3.3.2).</w:t>
      </w:r>
    </w:p>
    <w:p>
      <w:r>
        <w:rPr>
          <w:b/>
        </w:rPr>
        <w:t>E. 3.1</w:t>
      </w:r>
    </w:p>
    <w:p>
      <w:r>
        <w:t>Am 22. Mai 2012 stellte der Beschwerdeführer ein zweites Ausstandsgesuch gegen die Gerichtspräsidentin und die Gerichtsschreiberin des Bezirksgerichts, das am 30. Mai 2012 zusammen mit je einem Bericht der beiden betroffenen Gerichtspersonen vom 29. Mai 2012 dem Obergericht weitergeleitet wurde. Der Beschwerdeführer bzw. sein Vertreter erhielt am 1. Juni 2012 eine Verfügung des Obergerichts vom 30. Mai 2012, mit der ihm ohne Fristansetzung der Bericht der Gerichtspräsidentin vom 29. Mai 2012 "zur Kenntnis und freigestellten Stellungnahme" zugestellt wurde. Gleichentags ging per Fax eine analoge Verfügung vom 1. Juni 2012 zum Bericht der Gerichtsschreiberin ein; mit der Post kam diese Verfügung am 4. Juni 2012, nach dem dazwischen liegenden Wochenende, an. Tags darauf, am 5. Juni 2012, trat das Obergericht auf das Ausstandsgesuch nicht ein, weil es verspätet eingereicht worden sei.</w:t>
      </w:r>
    </w:p>
    <w:p>
      <w:r>
        <w:rPr>
          <w:b/>
        </w:rPr>
        <w:t>E. 3.2</w:t>
      </w:r>
    </w:p>
    <w:p>
      <w:r>
        <w:t>Der Beschwerdeführer hatte maximal vier Tage, wovon ein Wochenende, Zeit, um sich zu den Vernehmlassungen der beiden Gerichtspersonen zu äussern. Wird berücksichtigt, dass eine Stellungnahme zuerst per Fax und damit erst am 4. Juni 2012 korrekt zugestellt wurde, verblieb ihm diesbezüglich sogar nur ein Tag. Das ist offensichtlich zu wenig, um das Replikrecht angemessen wahrzunehmen.</w:t>
      </w:r>
    </w:p>
    <w:p>
      <w:r>
        <w:rPr>
          <w:b/>
        </w:rPr>
        <w:t>E. 3.3</w:t>
      </w:r>
    </w:p>
    <w:p>
      <w:r>
        <w:t>Die Gerichtspräsidentin wendet dagegen ein, die vom Beschwerdeführer im Ausstandsbegehren geltend gemachten Gründe seien von ihm bereits in seiner Stellungnahme zum Gutachten vom 28. März 2012 thematisiert worden, wozu sich die Gerichtspräsidentin in ihrer Verfügung vom 10. Mai 2012 geäussert habe. Auf eine Replik habe daher im Ausstandsverfahren verzichtet werden dürfen, wozu die Gerichtspräsidentin auf eine Kommentarstelle verweist (vgl. KELLER, a.a.O., N. 8 zu Art. 59 StPO ). Indessen stellt sich die Rechtslage im Ausstandsverfahren nicht zwingend gleich dar wie bei der Berücksichtigung eines Gutachtens. Mit Grund macht der Beschwerdeführer geltend, die Ausstandsfrage könne unter Umständen zumindest pro futuro anders gewichtet werden als im ersten Ausstandsverfahren bzw. als im Zusammenhang mit der Einholung des Gutachtens. Das Obergericht hat ohnehin nicht einen zweiten Schriftenwechsel verweigert, sondern zwar von dessen formellen Einleitung abgesehen, aber doch festgehalten, es stehe dem Beschwerdeführer frei, eine Stellungnahme einzureichen. Dazu hätte ihm jedoch auch die reelle Möglichkeit gewährt werden müssen.</w:t>
      </w:r>
    </w:p>
    <w:p>
      <w:r>
        <w:rPr>
          <w:b/>
        </w:rPr>
        <w:t>E. 3.4</w:t>
      </w:r>
    </w:p>
    <w:p>
      <w:r>
        <w:t>Nicht massgeblich ist, ob die auf den 20. Juni 2012 angesetzte Verhandlung bei Durchführung eines doppelten Schriftenwechsels hätte verschoben werden müssen, wie die Gerichtspräsidentin geltend macht. Ein Verschiebungsgesuch des Beschwerdeführers vom 14. Juni 2012 konnte jedenfalls noch gleichentags abgewiesen werden. Obwohl es darauf angesichts der formellen Natur des Replikrechts nicht ankommt, erscheint es im vorliegenden Fall nicht einmal als ausgeschlossen, dass über das Ausstandsgesuch in zulässiger Weise noch vor dem 20. Juni 2012 hätte entschieden werden können.</w:t>
      </w:r>
    </w:p>
    <w:p>
      <w:r>
        <w:rPr>
          <w:b/>
        </w:rPr>
        <w:t>E. 3.5</w:t>
      </w:r>
    </w:p>
    <w:p>
      <w:r>
        <w:t>Ob das Ausstandsbegehren in der Sache erfolgversprechend oder chancenlos erscheint, spielt für die Ausübung des Replikrechts, erneut wegen dessen formellen Natur, keine Rolle. Dieses muss uneingeschränkt gewährt werden und wahrgenommen werden können.</w:t>
      </w:r>
    </w:p>
    <w:p>
      <w:r>
        <w:rPr>
          <w:b/>
        </w:rPr>
        <w:t>E. 3.6</w:t>
      </w:r>
    </w:p>
    <w:p>
      <w:r>
        <w:t>Der angefochtene Entscheid verletzt demnach den Anspruch des Beschwerdeführers auf rechtliches Gehör ( Art. 29 Abs. 2 BV , Art. 6 Ziff. 1 EMRK ). Eine Heilung dieses Mangels im bundesgerichtlichen Verfahren ist nicht möglich (vgl. BGE 133 I 100 E. 4.9 S. 105).</w:t>
      </w:r>
    </w:p>
    <w:p>
      <w:r>
        <w:rPr>
          <w:b/>
        </w:rPr>
        <w:t>E. 4</w:t>
      </w:r>
    </w:p>
    <w:p>
      <w:r>
        <w:t>Die Beschwerde erweist sich als begründet und ist gutzuheissen. Damit ist der angefochtene Entscheid aufzuheben, und die Sache ist zur Neubeurteilung an die Vorinstanz zurückzuweisen.</w:t>
      </w:r>
    </w:p>
    <w:p>
      <w:r>
        <w:t>Bei diesem Verfahrensausgang sind keine Kosten zu erheben ( Art. 66 Abs. 1 und 4 BGG ). Hingegen hat der Kanton Aargau den obsiegenden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