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1B_405/2012 vom 6. September 2012</w:t>
      </w:r>
    </w:p>
    <w:p>
      <w:r>
        <w:t>Bundesgericht, 2012-09-06, FR</w:t>
      </w:r>
    </w:p>
    <w:p>
      <w:r>
        <w:rPr>
          <w:b/>
        </w:rPr>
        <w:t xml:space="preserve">Quelle: </w:t>
      </w:r>
      <w:r>
        <w:t>https://mcp.opencaselaw.ch/entscheid/bger_1B_405_2012</w:t>
      </w:r>
    </w:p>
    <w:p>
      <w:r>
        <w:t>FR: TF 1B_405/2012 du 6 septembre 2012</w:t>
      </w:r>
    </w:p>
    <w:p>
      <w:r>
        <w:t>IT: TF 1B_405/2012 del 6 settembre 2012</w:t>
      </w:r>
    </w:p>
    <w:p>
      <w:pPr>
        <w:pStyle w:val="Heading2"/>
      </w:pPr>
      <w:r>
        <w:t>Erwägungen</w:t>
      </w:r>
    </w:p>
    <w:p>
      <w:r>
        <w:rPr>
          <w:b/>
        </w:rPr>
        <w:t>E. 1</w:t>
      </w:r>
    </w:p>
    <w:p>
      <w:r>
        <w:t>La décision attaquée a été rendue en matière pénale au sens de l' art. 78 LTF . Elle a un caractère final puisqu'elle confirme le refus d'entrer en matière sur une plainte pénale ( art. 90 LTF ), et émane de l'autorité cantonale de dernière instance ( art. 80 LTF ). Le recourant a agi en temps utile ( art. 100 al. 1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Selon l' art. 42 al. 1 LTF , il incombe au recourant d'alléguer les faits qu'il considère comme propres à fonder sa qualité pour recourir (cf. ATF 133 II 353 consid. 1 p. 356, 249 consid. 1.1 p. 251).</w:t>
      </w:r>
    </w:p>
    <w:p>
      <w:r>
        <w:t>Lorsque, comme en l'espèce, le recours est dirigé contre une décision de classement ou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w:t>
      </w:r>
    </w:p>
    <w:p>
      <w:r>
        <w:t>En l'occurrence, les actes dénoncés ont été commis par un agent de l'Etat. Comme le reconnaît le recourant, le droit cantonal instaure, comme le permet l' art. 61 al. 1 CO , une responsabilité exclusive de la collectivité publique en cas d'acte illicite de ses agents. Le plaignant ne dispose donc que d'une prétention de droit public à faire valoir non pas contre l'auteur présumé, mais contre l'Etat. Selon la jurisprudence constante, une telle prétention ne peut être invoquée dans le procès pénal par voie d'adhésion et ne constitue dès lors pas une prétention civile au sens des dispositions précitées ( ATF 138 IV 86 consid. 3.1 p. 88; 133 IV 228 consid. 2.3.3 p. 234; 128 IV 188 consid. 2).</w:t>
      </w:r>
    </w:p>
    <w:p>
      <w:r>
        <w:rPr>
          <w:b/>
        </w:rPr>
        <w:t>E. 1.3</w:t>
      </w:r>
    </w:p>
    <w:p>
      <w:r>
        <w:t>Par ailleurs, contrairement à ce que soutient le recourant, la divulgation avant jugement de certaines pièces à conviction - sur lesquelles le recourant n'est d'ailleurs pas reconnaissable - ne saurait constituer un traitement inhumain ou dégradant au sens notamment de l' art. 3 CEDH , susceptible de fonder un droit de recours (cf. ATF 138 IV 86 consid. 3.1.1 p. 88 et les arrêts cités). Il en va de même de la présomption d'innocence, qui devra le cas échéant être invoquée dans le cadre de la procédure dirigée contre le recourant et ne saurait justifier un droit de recours dans la présente cause.</w:t>
      </w:r>
    </w:p>
    <w:p>
      <w:r>
        <w:rPr>
          <w:b/>
        </w:rPr>
        <w:t>E. 1.4</w:t>
      </w:r>
    </w:p>
    <w:p>
      <w:r>
        <w:t>Enfin, le recourant ne se plaint pas d'une violation de ses droits de partie à la procédure qui lui sont reconnus par le droit cantonal, le droit constitutionnel fédéral ou le droit conventionnel ( ATF 136 IV 41 consid. 1.4 p. 44 et les arrêts cités).</w:t>
      </w:r>
    </w:p>
    <w:p>
      <w:r>
        <w:rPr>
          <w:b/>
        </w:rPr>
        <w:t>E. 2</w:t>
      </w:r>
    </w:p>
    <w:p>
      <w:r>
        <w:t>Sur le vu de ce qui précède, le recours est irrecevable. Cette issue, d'emblée prévisible, conduit également au rejet de la demande d'assistance judiciaire.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