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1B_404/2020 vom 10. August 2020</w:t>
      </w:r>
    </w:p>
    <w:p>
      <w:r>
        <w:t>Bundesgericht, 2020-08-10, DE</w:t>
      </w:r>
    </w:p>
    <w:p>
      <w:r>
        <w:rPr>
          <w:b/>
        </w:rPr>
        <w:t xml:space="preserve">Quelle: </w:t>
      </w:r>
      <w:r>
        <w:t>https://mcp.opencaselaw.ch/entscheid/bger_1B_404_2020</w:t>
      </w:r>
    </w:p>
    <w:p>
      <w:r>
        <w:t>FR: TF 1B_404/2020 du 10 août 2020</w:t>
      </w:r>
    </w:p>
    <w:p>
      <w:r>
        <w:t>IT: TF 1B_404/2020 del 10 agosto 2020</w:t>
      </w:r>
    </w:p>
    <w:p>
      <w:pPr>
        <w:pStyle w:val="Heading2"/>
      </w:pPr>
      <w:r>
        <w:t>Erwägungen</w:t>
      </w:r>
    </w:p>
    <w:p>
      <w:r>
        <w:rPr>
          <w:b/>
        </w:rPr>
        <w:t>E. 1</w:t>
      </w:r>
    </w:p>
    <w:p>
      <w:r>
        <w:t>Die Staatsanwaltschaft Zürich-Limmat bestrafte A.________ mit Strafbefehl vom 27. Mai 2020 wegen Beschimpfung und Tätlichkeiten. Dagegen erhob A.________ Einsprache bei der Staatsanwaltschaft, welche sie zu einer Einvernahme auf den 16. Juli 2020 vorlud. Mit Eingaben vom 6. und 7. Juli 2020 erhob A.________ Beschwerde "gegen die Staatsanwaltschaft Zürich-Limmat". Die III. Strafkammer des Obergerichts des Kantons Zürich wies mit Beschluss vom 9. Juli 2020 die Beschwerde ab, soweit sie darauf eintrat. Zur Begründung führte sie zusammenfassend aus, dass als Rechtsbehelf gegen einen Strafbefehl den Parteien alleine die Einsprache zur Verfügung stehe. Einwände gegen den Strafantrag, den Strafbefehl im Allgemeinen sowie gegen die Verfahrenshandlungen der Staatsanwaltschaft seien im Einspracheverfahren vorzubringen. Für die Entgegennahme von Strafanzeigen seien die Strafverfolgungsbehörden und nicht das Gericht zuständig. Soweit Einwände gegen die Vorladung vorgebracht werden, sei nicht ersichtlich, in welcher Hinsicht die Vorladung nicht korrekt sein sollte.</w:t>
      </w:r>
    </w:p>
    <w:p>
      <w:r>
        <w:rPr>
          <w:b/>
        </w:rPr>
        <w:t>E. 2</w:t>
      </w:r>
    </w:p>
    <w:p>
      <w:r>
        <w:t>A.________ führt mit Eingabe vom 5. August 2020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mit der Begründung der III. Strafkammer überhaupt nicht auseinander. Sie vermag mit ihren nicht sachbezogenen Ausführungen nicht aufzuzeigen, dass die III. Strafkammer bei der Behandlung der Beschwerde Recht im Sinne von Art. 42 Abs. 2 BGG verletzt hätte. Aus der Beschwerde ergibt sich nicht ansatzweise,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Mit dem vorliegenden 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