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1B_404/2017 vom 18. Oktober 2017</w:t>
      </w:r>
    </w:p>
    <w:p>
      <w:r>
        <w:t>Bundesgericht, 2017-10-18, FR</w:t>
      </w:r>
    </w:p>
    <w:p>
      <w:r>
        <w:rPr>
          <w:b/>
        </w:rPr>
        <w:t xml:space="preserve">Quelle: </w:t>
      </w:r>
      <w:r>
        <w:t>https://mcp.opencaselaw.ch/entscheid/bger_1B_404_2017</w:t>
      </w:r>
    </w:p>
    <w:p>
      <w:r>
        <w:t>FR: TF 1B_404/2017 du 18 octobre 2017</w:t>
      </w:r>
    </w:p>
    <w:p>
      <w:r>
        <w:t>IT: TF 1B_404/2017 del 18 ottobre 2017</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Dans un grief de nature formelle, le recourant se plaint d'une violation de son droit d'être entendu au motif qu'il n'a pas pu consulter la retranscription rétroactive des écoutes téléphoniques, élément sur lequel la direction de la procédure entendait se fonder pour justifier la prolongation de la détention provisoire.</w:t>
      </w:r>
    </w:p>
    <w:p>
      <w:r>
        <w:rPr>
          <w:b/>
        </w:rPr>
        <w:t>E. 2.1</w:t>
      </w:r>
    </w:p>
    <w:p>
      <w:r>
        <w:t>Compris comme l'un des aspects de la notion générale de procès équitable au sens de l' art. 29 al. 1 Cst. , le droit d'être entendu garantit notamment le droit pour l'intéressé de prendre connaissance du dossier (cf. art. 3 al. 2 let . c, 101 et 107 CPP) et de participer à l'administration des preuves essentielles (cf. art. 147 CPP ) ou, à tout le moins, de s'exprimer sur son résultat lorsque cela est de nature à influer sur la décision à rendre ( ATF 136 V 117 consid. 4.2.2 p. 125).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cas échéant, soulever une objection contre leur validité. C'est une condition pour qu'il puisse sauvegarder d'une manière générale ses droits de la défense, comme l'exigent les art. 32 al. 2 Cst. et 6 § 3 let. b CEDH ( ATF 129 I 85 consid. 4.1 p. 88 s.); cette seconde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 ATF 122 I 109 consid. 3a p. 113).</w:t>
      </w:r>
    </w:p>
    <w:p>
      <w:r>
        <w:t>S'agissant en particulier du droit d'accès au dossier (composante du droit d'être entendu, cf. art. 29 al. 2 Cst. , 107 al. 1 let. a CPP; ATF 137 II 266 consid. 3.2 p. 270 s.; 136 I 265 consid. 3.2 p. 272 et les références citées), l' art. 101 al. 1 CPP prévoit que les parties peuvent consulter le dossier d'une procédure pendante au plus tard après la première audition du prévenu et l'administration des preuves principales par le ministère public, l' art. 108 CPP étant réservé. Celui-ci permet de refuser dans des phases ultérieures de l'instruction l'accès au dossier sous certaines conditions; la conséquence de telles restrictions est que les pièces non communiquées ne peuvent être utilisées pour fonder une décision que si la partie a été informée de leur contenu essentiel ( art. 108 al. 4 CPP ).</w:t>
      </w:r>
    </w:p>
    <w:p>
      <w:r>
        <w:rPr>
          <w:b/>
        </w:rPr>
        <w:t>E. 2.2</w:t>
      </w:r>
    </w:p>
    <w:p>
      <w:r>
        <w:t>En l'occurrence, se prononçant sur ce grief de violation du droit d'être entendu, la cour cantonale a tout d'abord retenu que la retranscription du contrôle téléphonique rétroactif ne figurait pas au dossier, l'analyse de ces données étant toujours en cours auprès de la police. Il ne s'agissait dès lors pas encore d'une pièce du dossier. Plus loin, la cour cantonale admettait toutefois que les premiers éléments de l'analyse du contrôle téléphonique rétroactif tendaient à confirmer que le prévenu consacrait une grande partie de son temps à la recherche de clients potentiels. Elle confirmait dès lors qu'il existait un risque de collusion justifiant la détention provisoire en ce que le prévenu aurait pu tenter de prendre contact avec les personnes pouvant le mettre en cause afin d'influencer leurs déclarations en sa faveur.</w:t>
      </w:r>
    </w:p>
    <w:p>
      <w:r>
        <w:t>Il n'est pas soutenable d'affirmer que la pièce ne fait pas matériellement partie du dossier, tout en s'y référant pour motiver la décision. Autre est en revanche la question de savoir si, à titre exceptionnel au sens de l' art. 108 CPP , l'intérêt au maintien du secret de l'enquête justifiait une restriction du droit d'être entendu du recourant. Dans ce cas, il y avait lieu d'assurer à celui-ci une information du contenu essentiel des données sur lesquelles les autorités entendaient se fonder. Les instances précédentes n'ont pas abordé la question sous cet angle. Celle-ci, liée uniquement aux actes d'instruction en lien avec le présumé trafic de stupéfiants, peut toutefois demeurer indécise compte tenu de ce qui suit.</w:t>
      </w:r>
    </w:p>
    <w:p>
      <w:r>
        <w:rPr>
          <w:b/>
        </w:rPr>
        <w:t>E. 3</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w:t>
      </w:r>
    </w:p>
    <w:p>
      <w:r>
        <w:t>S'agissant de l'existence d'indices suffisants d'infractions à la LStup et à la LCR, l'argumentation appellatoire du recourant ne saurait remettre en cause la motivation pertinente de l'arrêt attaqué à laquelle on peut se référer (arrêt attaqué, consid. 3.2; art. 109 al. 3 LTF ).</w:t>
      </w:r>
    </w:p>
    <w:p>
      <w:r>
        <w:rPr>
          <w:b/>
        </w:rPr>
        <w:t>E. 4.1</w:t>
      </w:r>
    </w:p>
    <w:p>
      <w:r>
        <w:t>Pour retenir l'existence d'un risque de collusion au sens de l' art. 221 CPP ,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 Au demeurant, lorsqu'un prévenu est placé en détention, la procédure doit être conduite en priorité ( art. 5 al. 2 CPP ).</w:t>
      </w:r>
    </w:p>
    <w:p>
      <w:r>
        <w:rPr>
          <w:b/>
        </w:rPr>
        <w:t>E. 4.2</w:t>
      </w:r>
    </w:p>
    <w:p>
      <w:r>
        <w:t>On ignore sur quels éléments le recourant se fonde pour affirmer que l'enquête aurait commencé en mai 2016 déjà. Il ressort au contraire du dossier que l'enquête a débuté en juin 2017. Le recourant a été interpelé le 19 juin 2017 et la surveillance rétroactive de ses télécommunications a été autorisée le 27 juin suivant. Dans ce contexte, la poursuite des auditions, en particulier celle de personnes devant encore être identifiées par le biais du contrôle téléphonique rétroactif, était propre à justifier le maintien du recourant en détention provisoire pour éviter tout risque de collusion. La cour cantonale a confirmé l'appréciation du Tmc selon laquelle celui-ci, s'il devait être libéré, pourrait contacter ses présumés clients pour influencer leurs déclarations en sa faveur. Si, à ce stade de l'instruction, des personnes appelées à donner des renseignements avaient déjà été entendues, l'audition de présumés clients n'avait en revanche pas encore eu lieu.</w:t>
      </w:r>
    </w:p>
    <w:p>
      <w:r>
        <w:t>Cela étant, vu les opérations à effectuer, une durée de trois mois apparaît d'emblée excessive. La première détention avait été ordonnée pour deux mois et on ne voit pas pour quel motif une durée de trois mois pour cette seconde période de détention était justifiée. Les seules mesures d'instruction pouvant justifier le risque de collusion étaient celles liées aux auditions de présumés clients du prévenu, identifiés par les mesures de surveillance téléphonique. Ces auditions, s'agissant d'un supposé trafic local de cannabis, pouvaient être menées à bref délai. A défaut, les autorités cantonales devaient préciser pour quels motifs un délai plus long était nécessaire. L'état actuel de l'instruction le confirme dès lors que le Ministère public a indiqué que les auditions dont il était question ont eu lieu et que le risque de collusion avait disparu (cf. demande de libération de la détention provisoire du 22 septembre 2017, pièce 73). Au jour où la prolongation de la détention provisoire a été ordonnée, le risque de collusion pouvait encore être retenu mais ne justifiait pas une prolongation de trois mois de la détention. Il apparaît retrospectivement qu'un mois supplémentaire était suffisant aux enquêteurs pour achever les opérations sujettes à collusion en cas de libération du prévenu.</w:t>
      </w:r>
    </w:p>
    <w:p>
      <w:r>
        <w:rPr>
          <w:b/>
        </w:rPr>
        <w:t>E. 5.1</w:t>
      </w:r>
    </w:p>
    <w:p>
      <w:r>
        <w:t>L' art. 221 al. 1 let .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 p. 14 ss; arrêt 1B_455/2016 du 9 décembre 2016 consid. 3.1).</w:t>
      </w:r>
    </w:p>
    <w:p>
      <w:r>
        <w:t>A teneur de l' art. 197 al. 1 let . c CPP, qui concrétise le principe de la proportionnalité, les mesures de contrainte ne peuvent être prises que si les buts poursuivis ne peuvent pas être atteints par des mesures moins sévères. L' art. 212 al. 2 let . c CPP rappelle cette exigence en prévoyant que les mesures de contrainte entraînant une privation de liberté doivent être levées dès que des mesures de substitution permettent d'atteindre le même but. L' 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l'obligation de se soumettre à un traitement médical ou à des contrôles (let. f).</w:t>
      </w:r>
    </w:p>
    <w:p>
      <w:r>
        <w:rPr>
          <w:b/>
        </w:rPr>
        <w:t>E. 5.2</w:t>
      </w:r>
    </w:p>
    <w:p>
      <w:r>
        <w:t>En l'occurrence, le risque de réitération ne saurait être retenu s'agissant d'éventuelles infractions en lien avec un trafic de cannabis. La cour cantonale retient que les plants et le matériel ont été détruits et que le bail à loyer de la ferme dans laquelle le recourant vivait et s'adonnait à la culture a été résilié. Dans de telles circonstances, on ne peut suivre les juges cantonaux lorsqu'ils considèrent qu'un risque concret de récidive existe à l'échelle de temps couverte par la détention provisoire. Ils indiquent eux-mêmes dans l'arrêt attaqué retenir un risque "à terme". Une telle évaluation du risque de récidive appartiendra en réalité au juge de fond, alors qu'en l'état une activité de culture et de trafic serait particulièrement difficile à mettre en place à court terme. A cela s'ajoute que le recourant n'a pas d'antécédents en matière de trafic de stupéfiants.</w:t>
      </w:r>
    </w:p>
    <w:p>
      <w:r>
        <w:t>En ce qui concerne les infractions à la LCR, avec la cour cantonale, on peut retenir que le risque de récidive est bien concret vu les antécédents du recourant, qui a fait l'objet de six condamnations en huit ans (dont de réitérées violations graves de la circulation routière ainsi que de la conduite en incapacité de conduire et/ou malgré un retrait de permis). Ce comportement systématiquement illicite compromet en effet sérieusement la sécurité d'autrui au sens de l' art. 221 al. 1 let . c CPP.</w:t>
      </w:r>
    </w:p>
    <w:p>
      <w:r>
        <w:t>Le recourant propose, à titre de mesure de substitution, qu'il lui soit imposé de se faire véhiculer pour ses déplacements. Ce faisant, il élude complètement ses antécédents, en particulier s'agissant de conduite sans permis. Il n'expose pas en quoi il serait désormais plus enclin à respecter une éventuelle interdiction de conduire qui, dans les faits, équivaut aux mesures de retrait de permis dont il a fait l'objet et qu'il a régulièrement enfreintes. En l'état, le recourant ne démontre d'aucune façon avoir pris conscience du caractère illicite et dangereux de tels actes. Il n'offre non seulement aucune garantie crédible de respect d'une mesure d'interdiction de conduire, mais, de surcroît, il ne prétend pas non plus être en mesure de rester abstinent aux stupéfiants. A cet égard, une mesure de contrôle d'abstinence impliquerait la collaboration de l'intéressé. Or, celui-ci n'a jusqu'à présent pas même signifié une intention de cesser sa consommation de cannabis en cas de libération. En définitive, le recourant ne propose aucune mesure de substitution sérieuse à sa détention.</w:t>
      </w:r>
    </w:p>
    <w:p>
      <w:r>
        <w:t>Le Ministère public a au demeurant indiqué que l'enquête touche actuellement à son terme (pièce 73 susmentionnée). Il n'y a pas lieu d'avoir de doutes quant à la rapidité de l'instruction encore à venir et à la prompte fixation d'une date de jugement. Si tel devait ne pas être le cas, des mesures de substitution - plus crédibles et fermes que ce que propose actuellement le recourant - pourraient être examinées par les instances amenées à se déterminer sur une nouvelle prolongation de la détention.</w:t>
      </w:r>
    </w:p>
    <w:p>
      <w:r>
        <w:t>En résumé, s'il n'est plus justifié, en l'état, de maintenir le recourant en détention provisoire pour éviter tout risque de collusion ni pour éviter une récidive liée à un commerce de cannabis, il apparaît que la détention demeure justifiée par le risque de récidive d'infractions graves à la circulation routière.</w:t>
      </w:r>
    </w:p>
    <w:p>
      <w:r>
        <w:rPr>
          <w:b/>
        </w:rPr>
        <w:t>E. 6</w:t>
      </w:r>
    </w:p>
    <w:p>
      <w:r>
        <w:t>Il résulte de ce qui précède que le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