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1B_404/2014 vom 7. Januar 2015</w:t>
      </w:r>
    </w:p>
    <w:p>
      <w:r>
        <w:t>Bundesgericht, 2015-01-07, DE</w:t>
      </w:r>
    </w:p>
    <w:p>
      <w:r>
        <w:rPr>
          <w:b/>
        </w:rPr>
        <w:t xml:space="preserve">Quelle: </w:t>
      </w:r>
      <w:r>
        <w:t>https://mcp.opencaselaw.ch/entscheid/bger_1B_404_2014</w:t>
      </w:r>
    </w:p>
    <w:p>
      <w:r>
        <w:t>FR: TF 1B_404/2014 du 7 janvier 2015</w:t>
      </w:r>
    </w:p>
    <w:p>
      <w:r>
        <w:t>IT: TF 1B_404/2014 del 7 gennaio 2015</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da er sich (jedenfalls nach dem Kenntnisstand des Bundesgerichts) weiterhin in Untersuchungshaft befindet, bleibt die Beschwerde praxisgemäss zulässig, auch wenn die im angefochtenen Entscheid genehmigte Haftfrist bereits abgelaufen ist. Der Beschwerdeführer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Kollusionsgefahr besteht ( Art. 221 Abs. 1 StPO ).</w:t>
      </w:r>
    </w:p>
    <w:p>
      <w:r>
        <w:rPr>
          <w:b/>
        </w:rPr>
        <w:t>E. 2.1</w:t>
      </w:r>
    </w:p>
    <w:p>
      <w:r>
        <w:t>Unbestritten ist, dass der Beschwerdeführer sexueller Handlungen mit Kindern im Sinn von Art. 187 Ziff. 1 StGB und damit eines Verbrechens dringend verdächtig ist.</w:t>
      </w:r>
    </w:p>
    <w:p>
      <w:r>
        <w:rPr>
          <w:b/>
        </w:rPr>
        <w:t>E. 2.2</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t>Das Obergericht hat im angefochtenen Entscheid die Annahme von Kollusionsgefahr damit begründet, dass das Opfer und gleichzeitig einziger Augenzeuge des Schaffhauser Vorfalls noch nicht befragt worden sei. Da der Beschwerdeführer im vorliegenden Strafverfahren beschuldigt werde, habe er sowohl Anlass zu versuchen, den Zeugen zu beeinflussen, als auch die Möglichkeit dazu, da er nunmehr dessen Namen kenne. Es bestehe damit bis zur (verwertbaren) Befragung des Opfers Kollusionsgefahr; der Staatsanwaltschaft stehe daher ein Monat Zeit zur Verfügung, um es zu befragen.</w:t>
      </w:r>
    </w:p>
    <w:p>
      <w:r>
        <w:t>Das Obergericht ist zu Recht davon ausgegangen, der Beschwerdeführer hätte in Freiheit versuchen können, das Opfer vor dessen Einvernahme aufzuspüren und zu beeinflussen. Das ist entgegen der Auffassung des Beschwerdeführers mehr als eine nur theoretische Möglichkeit. Zwar wäre ein solches Unterfangen wohl schwierig gewesen, aber gerade pädophile Täter haben erfahrungsgemäss oft eine besondere Begabung, mit Kindern umzugehen und sie zu manipulieren. Das Obergericht konnte daher ohne Verletzung von Bundesrecht Kollusionsgefahr bejahen, und es hat auch dem Verhältnismässigkeitsprinzip Rechnung getragen, indem es der Staatsanwaltschaft eine angemessene Frist einräumte, um das Opfer zu befragen und dadurch die Kollusionsgefahr zu beseitigen. Es ist auch nicht ersichtlich, dass diese durch die Anordnung einer milderen Ersatzmassnahme nach Art. 237 Abs. 2 StPO wirksam hätte gebannt werden können. Das Obergericht hat kein Bundesrecht verletzt, indem es Kollusionsgefahr bejahte.</w:t>
      </w:r>
    </w:p>
    <w:p>
      <w:r>
        <w:rPr>
          <w:b/>
        </w:rPr>
        <w:t>E. 3</w:t>
      </w:r>
    </w:p>
    <w:p>
      <w:r>
        <w:t>Die Beschwerde ist damit als unbegründet abzuweisen. Da das Obergericht als besonderen Haftgrund einzig Kollusionsgefahr bejahte, ist nicht zu prüfen, ob allenfalls noch weitere besondere Haftgründe gegeben wären.</w:t>
      </w:r>
    </w:p>
    <w:p>
      <w:r>
        <w:t>Bei diesem Ausgang des Verfahrens trägt an sich der Beschwerdeführer die Kosten ( Art. 66 Abs. 1 StPO ). Er hat indessen ein Gesuch um unentgeltliche Rechtspflege und Verbeiständung gestellt; dieses ist gutzuheissen, weil die Beschwerde nicht von vornherein aussichtslos war - immerhin hatte die erste Instanz das Vorliegen von Haftgründen damals verneint - und die Prozessarmut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