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1B_403/2020 vom 21. Januar 2021</w:t>
      </w:r>
    </w:p>
    <w:p>
      <w:r>
        <w:t>Bundesgericht, 2021-01-21, DE</w:t>
      </w:r>
    </w:p>
    <w:p>
      <w:r>
        <w:rPr>
          <w:b/>
        </w:rPr>
        <w:t xml:space="preserve">Quelle: </w:t>
      </w:r>
      <w:r>
        <w:t>https://mcp.opencaselaw.ch/entscheid/bger_1B_403_2020</w:t>
      </w:r>
    </w:p>
    <w:p>
      <w:r>
        <w:t>FR: TF 1B_403/2020 du 21 janvier 2021</w:t>
      </w:r>
    </w:p>
    <w:p>
      <w:r>
        <w:t>IT: TF 1B_403/2020 del 21 gennaio 2021</w:t>
      </w:r>
    </w:p>
    <w:p>
      <w:pPr>
        <w:pStyle w:val="Heading2"/>
      </w:pPr>
      <w:r>
        <w:t>Erwägungen</w:t>
      </w:r>
    </w:p>
    <w:p>
      <w:r>
        <w:rPr>
          <w:b/>
        </w:rPr>
        <w:t>E. 1</w:t>
      </w:r>
    </w:p>
    <w:p>
      <w:r>
        <w:t>Die beiden Beschwerden verfügen über die gleichen Verfahrensbeteiligten, und es geht in der Sache um gleich oder zumindest sehr ähnlich gelagerte Streitfragen der Rechtsverweigerung oder -verzögerung. Es rechtfertigt sich daher, die bundesgerichtlichen Verfahren 1B_403/2020 und 1B_613/2020 zu vereinigen.</w:t>
      </w:r>
    </w:p>
    <w:p>
      <w:r>
        <w:rPr>
          <w:b/>
        </w:rPr>
        <w:t>E. 2</w:t>
      </w:r>
    </w:p>
    <w:p>
      <w:r>
        <w:t>Angefochten sind zwei strafrechtliche Entscheide, bei dem sich die Frage der Zulässigkeit einer Beschwerde in Strafsachen nach Art. 78 ff. BGG stellt. Es kann hier offenbleiben, ob es sich bei den beiden angefochtenen Entscheiden um anfechtbare End- oder Zwischenentscheide nach Art. 90 und 93 Abs. 1 BGG handelt, da die Beschwerden ohnehin abzuweisen sind, soweit darauf eingetreten werden kann.</w:t>
      </w:r>
    </w:p>
    <w:p>
      <w:r>
        <w:rPr>
          <w:b/>
        </w:rPr>
        <w:t>E. 3</w:t>
      </w:r>
    </w:p>
    <w:p>
      <w:r>
        <w:t>Nach Art. 42 Abs. 2 BGG prüft das Bundesgericht nur die geltend gemachten Rügen, sofern die rechtlichen Mängel nicht geradezu offensichtlich sind ( BGE 140 III 115 E. 2 S. 116; 133 II 249 E. 1.4.1 S. 254). Es ist allerdings weder an die in der Beschwerde vorgetragenen Argumente noch an die Erwägungen der Vorinstanz gebunden ( BGE 139 II 404 E. 3 S. 415). In Bezug auf die Verletzung von Grundrechten gilt eine qualifizierte Rüge- und Substanziierungspflicht ( Art. 106 Abs. 2 BGG ). Das Bundesgericht prüft solche Rügen nur, wenn sie in der Beschwerde vorgebracht und begründet worden sind ( BGE 136 II 304 E. 2.5 S. 314). Der Beschwerdeführer ist seiner Rüge- und Substanziierungspflicht weitgehend nicht nachgekommen. Insbesondere genügt es nicht, die Verletzung des Grundsatzes von Treu und Glauben nach Art. 5 Abs. 3 und Art. 9 BV , des Verhältnismässigkeitsprinzips gemäss Art. 5 Abs. 2 BV sowie des Willkürverbots nach Art. 9 BV zu behaupten. Vielmehr ist darzulegen, worauf die Vertrauensgrundlage beruhen soll und welche Dispositionen mit nachteiligen Folgen gestützt darauf ergriffen worden sein sollen. Bei der Willkürrüge ist auszuführen, welche Bestimmung oder welcher Rechtsgrundsatz in unhaltbarer Weise angewandt worden sein und worin die Willkür liegen soll. Der Beschwerdeführer erfüllt diese Anforderungen nicht, weshalb auf die Beschwerden nicht eingetreten werden kann.</w:t>
      </w:r>
    </w:p>
    <w:p>
      <w:r>
        <w:rPr>
          <w:b/>
        </w:rPr>
        <w:t>E. 4</w:t>
      </w:r>
    </w:p>
    <w:p>
      <w:r>
        <w:t>Ergänzend kann im Übrigen darauf hingewiesen werden, dass die behaupteten Verfassungsverstösse auch nicht ersichtlich sind. Wie das Obergericht zutreffend ausführt, hat es sich der Beschwerdeführer mit seinen unzähligen Eingaben in einer Vielzahl von meist von ihm eingeleiteten Verfahren wesentlich selbst zuzuschreiben, wenn die Bearbeitung seiner Anliegen eine gewisse Zeit beansprucht. Er hat es ebenfalls in Kauf zu nehmen, dass die Stellung häufiger neuer, nicht immer eindeutig einem hängigen Verfahren zuzuweisbarer Anträge dazu führt, dass diese mitunter von den Behörden als eigenständig und nicht bloss als Eingaben im Schriftenwechsel eines bestehenden Verfahrens verstanden werden, weshalb neue kostenpflichtige Verfahren entstehen können. Es gibt in diesem Sinne, ohne dass dies erschöpfend zu behandeln ist, bei den angefochtenen Entscheiden, mit denen das Obergericht die behaupteten Rechtsverweigerungen bzw. -verzögerungen durch die Oberstaatsanwaltschaft verneinte, keine Hinweise auf verfassungsrelevante Treuwidrigkeit oder Willkür. Was der Beschwerdeführer sonst noch an Argumenten vorträgt, ist von vornherein nicht geeignet, seinen Standpunkt zu belegen. Dass es inzwischen auf Seiten der Staatsanwaltschaft und Oberstaatsanwaltschaft zu Ausstandserklärungen gekommen ist, wie der Beschwerdeführer geltend macht, führt nicht zur Rechtswidrigkeit der hier strittigen Entscheide, die einzig aufgrund der damaligen Ausgangslage zu prüfen sind. Selbst wenn auf die Beschwerden einzutreten wäre, wäre daher nicht zu erkennen, wie die angefochtenen Entscheide gegen Bundesrecht unter Einschluss der Grund- und Menschenrechte verstossen sollten.</w:t>
      </w:r>
    </w:p>
    <w:p>
      <w:r>
        <w:rPr>
          <w:b/>
        </w:rPr>
        <w:t>E. 5</w:t>
      </w:r>
    </w:p>
    <w:p>
      <w:r>
        <w:t>Auf die Beschwerden ist nicht einzutreten.</w:t>
      </w:r>
    </w:p>
    <w:p>
      <w:r>
        <w:t>Bei diesem Verfahrensausgang wird der unterliegende Beschwerdeführer kostenpflichtig. Sein Gesuch um unentgeltliche Rechtspflege ist abzuweisen (vgl. Art. 64 BGG ). Es ist bereits fraglich, ob er seine Bedürftigkeit, trotz einer eingereichten Steuerveranlagung für das Jahr 2019, zureichend belegt hat. So oder so erscheinen seine Rechtsbegehren jedoch als von vornherein aussichtslos. Damit sind die Kosten des bundesgerichtlichen Verfahrens dem Beschwerdeführer aufzuerlegen, wobei insbesondere auf den am Bundesgericht konkret für die Bearbeitung des vorliegenden Urteils angefallenen Aufwand abzustellen ist und den angeblich angespannten finanziellen Verhältnissen des Beschwerdeführers bei der Festlegung der Gerichtsgebühr Rechnung getragen werden kann ( Art. 66 Abs. 1, Art. 65 BGG ). Eine Parteientschädigung ist nicht zuzusprechen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