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1B_403/2019 vom 20. August 2019</w:t>
      </w:r>
    </w:p>
    <w:p>
      <w:r>
        <w:t>Bundesgericht, 2019-08-20, DE</w:t>
      </w:r>
    </w:p>
    <w:p>
      <w:r>
        <w:rPr>
          <w:b/>
        </w:rPr>
        <w:t xml:space="preserve">Quelle: </w:t>
      </w:r>
      <w:r>
        <w:t>https://mcp.opencaselaw.ch/entscheid/bger_1B_403_2019</w:t>
      </w:r>
    </w:p>
    <w:p>
      <w:r>
        <w:t>FR: TF 1B_403/2019 du 20 août 2019</w:t>
      </w:r>
    </w:p>
    <w:p>
      <w:r>
        <w:t>IT: TF 1B_403/2019 del 20 agosto 2019</w:t>
      </w:r>
    </w:p>
    <w:p>
      <w:pPr>
        <w:pStyle w:val="Heading2"/>
      </w:pPr>
      <w:r>
        <w:t>Erwägungen</w:t>
      </w:r>
    </w:p>
    <w:p>
      <w:r>
        <w:rPr>
          <w:b/>
        </w:rPr>
        <w:t>E. 1</w:t>
      </w:r>
    </w:p>
    <w:p>
      <w:r>
        <w:t>Das Regionalgericht Berner Jura-Seeland führt gegen A.________ ein Strafverfahren wegen Widerhandlung gegen das Strassenverkehrsgesetz. Am 29. April 2019 ersuchte A.________ um Ausstand der verfahrensleitenden Gerichtspräsidentin. Anlässlich der Hauptverhandlung vom 6. Mai 2019 hielt A.________ am Ausstandsgesuch fest, woraufhin die Gerichtspräsidentin auf dieses nicht "eintrat" und die Verhandlung im Sinne von Art. 59 Abs. 3 StPO fortsetzte. Nachdem die Gerichtspräsidentin anlässlich der Fortsetzungsverhandlung vom 19. Juli 2019 aufgrund des Fernbleibens von A.________ auf Rückzug der Einsprache schloss, überwies sie am 24. Juli 2019 die Akten zum Entscheid über das Ausstandsgesuch an die Beschwerdekammer in Strafsachen des Obergerichts des Kantons Bern. Die Beschwerdekammer wies mit Beschluss vom 14. August 2019 das Ausstandsgesuch ab.</w:t>
      </w:r>
    </w:p>
    <w:p>
      <w:r>
        <w:rPr>
          <w:b/>
        </w:rPr>
        <w:t>E. 2</w:t>
      </w:r>
    </w:p>
    <w:p>
      <w:r>
        <w:t>A.________ führt mit Eingabe vom 16. August 2019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der Begründung der Beschwerdekammer, die zur Abweisung des Ausstandsgesuchs führte, nicht auseinander. Die Beschwerde genügt insoweit den Begründungsanforderungen von Art. 42 Abs. 2 BGG offensichtlich nicht. Gleiches gilt soweit der Beschwerdeführer sinngemäss die Präsidentin der Beschwerdekammer, welche am angefochtenen Beschluss vom 14. August 2019mitgewirkt hat, als befangen erachtet. Aus der Beschwerde ergibt sich nicht ansatzweise, inwiefern die Begründung der Beschwerdekammer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