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402/2020 vom 21. August 2020</w:t>
      </w:r>
    </w:p>
    <w:p>
      <w:r>
        <w:t>Bundesgericht, 2020-08-21, FR</w:t>
      </w:r>
    </w:p>
    <w:p>
      <w:r>
        <w:rPr>
          <w:b/>
        </w:rPr>
        <w:t xml:space="preserve">Quelle: </w:t>
      </w:r>
      <w:r>
        <w:t>https://mcp.opencaselaw.ch/entscheid/bger_1B_402_2020</w:t>
      </w:r>
    </w:p>
    <w:p>
      <w:r>
        <w:t>FR: TF 1B 402/2020 du 21 août 2020</w:t>
      </w:r>
    </w:p>
    <w:p>
      <w:r>
        <w:t>IT: TF 1B 402/2020 del 21 agosto 2020</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Alors même que la recourante se trouve en exécution anticipée d'une mesure entraînant une privation de liberté ( art. 236 CPP ), elle peut en tout temps requérir sa libération ( art. 31 al. 4 Cst. , 5 § 4 CEDH ; ATF 143 IV 160 consid. 2.3 p. 163 s.; 139 IV 191 consid. 4.1 p. 194) et la qualité pour recourir doit par conséquent lui être reconnue (art. 81 al. 1 let. a et b ch. 1 LTF; arrêt 1B_311/2019 du 11 juillet 2019 consid. 1). Pour le surplus, le recours a été formé en temps utile ( art. 100 al. 1 LTF )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w:t>
      </w:r>
    </w:p>
    <w:p>
      <w:r>
        <w:rPr>
          <w:b/>
        </w:rPr>
        <w:t>E. 3</w:t>
      </w:r>
    </w:p>
    <w:p>
      <w:r>
        <w:t>La recourante ne revient pas, à juste titre, sur l'existence de charges suffisantes pesant à son encontre. Elle ne conteste pas non plus que, nonobstant la demande du Ministère public tendant au constat de son irresponsabilité par le Tribunal correctionnel, les faits reprochés sont susceptibles de justifier à son égard le prononcé d'une mesure thérapeutique institutionnelle (cf. art. 19 al. 3 CP ), respectivement l'exécution anticipée de celle-ci (cf. art. 236 al. 1 CPP ).</w:t>
      </w:r>
    </w:p>
    <w:p>
      <w:r>
        <w:rPr>
          <w:b/>
        </w:rPr>
        <w:t>E. 4</w:t>
      </w:r>
    </w:p>
    <w:p>
      <w:r>
        <w:t>Actuellement détenue à la Prison de Champ-Dollon, la recourante reproche en revanche à l'autorité précédente d'avoir considéré qu'il existait un risque de récidive, respectivement qu'aucune mesure de substitution ne permettait de le pallier.</w:t>
      </w:r>
    </w:p>
    <w:p>
      <w:r>
        <w:rPr>
          <w:b/>
        </w:rPr>
        <w:t>E. 4.1</w:t>
      </w:r>
    </w:p>
    <w:p>
      <w:r>
        <w:t>Pour admettre un risque de récidive au sens de l' art. 221 al. 1 let . c CPP, les infractions redoutées, tout comme les antécédents, doivent être des crimes ou des délits graves. Ce sont en premier lieu les infractions contre l'intégrité corporelle et sexuelle qui sont visées ( ATF 143 IV 9 consid. 2.3.1 p. 13).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de les avoir commises ( ATF 143 IV 9 consid. 2.3.1 p. 12). 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4.2</w:t>
      </w:r>
    </w:p>
    <w:p>
      <w:r>
        <w:t>Au moment de se prononcer sur l'existence d'un risque de récidive relativement aux actes de violence physique reprochés à la recourante, les experts F.________ et G.________ ont relevé que celle-ci, atteinte d'un trouble psychotique de type schizophrénie et d'une dépendance au cannabis, présentait "un risque de récidive violente moyen", l'intéressée étant décrite comme "une personne à risque de violence lors d'une décompensation psychique" (cf. rapport d'expertise du 28 avril 2020, p. 20). Dès lors que ce risque était principalement lié à son état mental et à son insertion sociale, un traitement psychotrope régulier et un suivi psychiatrique avec contrôles de l'abstinence au cannabis, dans le cadre d'abord d'une hospitalisation à Belle-Idée, puis d'un hébergement dans un lieu de vie adapté à sa problématique, constituaient selon les experts des mesures propres à diminuer le risque de récidive, à condition que le traitement se poursuive sur une durée minimale de deux ans (cf. rapport d'expertise, réponses n° II.6.1, 6.2 et 6.4, p. 24). Depuis l'incarcération de la recourante à la prison de Champ-Dollon en décembre 2019, un traitement antipsychotique avait été initié et était suivi de manière régulière par l'intéressée. Néanmoins, si la prise en charge médico-soignante mise en place avait permis le maintien d'une stabilité, la pathologie psychiatrique de la recourante nécessitait une prise en charge psychiatrique au long cours (cf. rapport de suivi médico-psychologique du Service de médecine pénitentiaire [SMP] de la prison de Champ-Dollon du 13 juillet 2020, ch. 3 p. 2). Cela étant, il faut prendre en considération que la présente procédure pénale porte sur deux épisodes de violence intense, au cours desquels la recourante s'en est pris, sans réels motifs apparents, à l'intégrité physique d'autrui. En particulier, l'agression au couteau du 3 décembre 2019 aurait pu avoir des conséquences tragiques en tant qu'elle a causé à la victime une plaie en-dessous du fessier d'environ 6 à 7 cm de profondeur (cf. ordonnance du Tmc du 1er juillet 2020, p. 2). Bien que la recourante n'ait pas été condamnée pour des faits de violence physique par le passé, cet acte, survenu de manière soudaine à la suite "d'une décompensation délirante sévère de sa schizophrénie" (cf. rapport d'expertise, réponse n° II.1, p. 22), est particulièrement préoccupant et permet légitimement de redouter une réitération tant que les effets du traitement entrepris ne sont pas connus de manière précise. Dès lors, dans l'intervalle, il y a lieu d'admettre qu'à défaut également de situation sociale stabilisée - l'intéressée est sans domicile fixe et dépourvue de ressources financières -, le risque de récidive demeure suffisamment concret et sérieux, sous l'angle de l' art. 221 al. 1 let . c CPP, pour justifier le maintien en détention de la recourante.</w:t>
      </w:r>
    </w:p>
    <w:p>
      <w:r>
        <w:rPr>
          <w:b/>
        </w:rPr>
        <w:t>E. 4.3</w:t>
      </w:r>
    </w:p>
    <w:p>
      <w:r>
        <w:t>Il faut encore déterminer si, malgré l'exécution anticipée de la mesure institutionnelle thérapeutique ordonnée le 13 mai 2020, la détention de la recourante peut valablement se poursuivre en milieu carcéral en l'attente d'une place disponible dans un établissement approprié.</w:t>
      </w:r>
    </w:p>
    <w:p>
      <w:r>
        <w:rPr>
          <w:b/>
        </w:rPr>
        <w:t>E. 4.3.1</w:t>
      </w:r>
    </w:p>
    <w:p>
      <w:r>
        <w:t>Selon l' art. 236 al. 1 CPP , la direction de la procédure peut autoriser le prévenu à exécuter de manière anticipée une peine privative de liberté ou une mesure entraînant une privation de liberté si le stade de la procédure le permet. La Confédération et les cantons peuvent prévoir que l'exécution anticipée des mesures soit subordonnée à l'assentiment des autorités d'exécution ( art. 236 al. 3 CPP ). A teneur de l' art. 59 al. 1 CP ,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 art. 59 al. 2 CP ). Le traitement s'effectue dans un établissement fermé tant qu'il y a lieu de craindre que l'auteur ne s'enfuie ou ne commette de nouvelles infractions; il peut aussi être effectué dans un établissement pénitentiaire au sens de l' art. 76 al. 2 CP - soit dans un établissement fermé ou dans la section fermée d'un établissement ouvert -, dans la mesure où le traitement thérapeutique nécessaire est assuré par du personnel qualifié ( art. 59 al. 3 CP ). En introduisant la possibilité d'exécuter une mesure institutionnelle dans un établissement pénitentiaire, le législateur a prévu une exception au principe de la séparation des lieux d'exécution des mesures de ceux d'exécution des peines ( art. 58 al. 2 CP ; ATF 142 IV 1 consid. 2.4.3). Un placement dans un établissement pénitentiaire doit toutefois rester l'exception et des mesures devront être prises pour que l'intéressé soit transféré aussitôt que possible dans un établissement spécialisé (arrêts 6B_817/2014 du 2 avril 2015; 6B_625/2012 du 27 juin 2013 consid. 4.3). Par ailleurs,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 En vertu de l' art. 56 al. 5 CP , en règle générale, le juge n'ordonne une mesure que si un établissement approprié est à disposition. Cette disposition vise à éviter que le juge n'ordonne une mesure sans s'assurer au préalable de l'existence d'une institution susceptible de l'exécuter (arrêts 6B_166/2020 du 9 avril 2020 consid. 3.1; 6B_27/2018 du 30 mai 2018 consid. 4.1).</w:t>
      </w:r>
    </w:p>
    <w:p>
      <w:r>
        <w:rPr>
          <w:b/>
        </w:rPr>
        <w:t>E. 4.3.2</w:t>
      </w:r>
    </w:p>
    <w:p>
      <w:r>
        <w:t>En l'occurrence, il ressort de l'arrêt attaqué qu'à la suite de l'ordonnance du Ministère public du 13 mai 2020, le Service de l'application des peines et des mesures (SAPEM) a entamé, en sa qualité d'autorité cantonale d'exécution, les démarches relatives à la mise en oeuvre de la mesure institutionnelle en milieu ouvert préconisée par les experts. La Clinique de Belle-Idée, pressentie pour accueillir la recourante, ainsi que le Service de médecine pénitentiaire (SMP) de la prison de Champ-Dollon s'étaient pour leur part également prononcés en faveur du suivi du traitement institutionnel en milieu ouvert (cf. arrêt attaqué, consid. 3.5 p. 6). A cet égard, il est observé qu'a priori un traitement institutionnel en milieu ouvert (cf. art. 59 al. 2 CP ), certes recommandé par les experts (cf. rapport d'expertise, réponse n° II.6.2 p. 24), paraît peu opportun au vu du risque de récidive évoqué ci-dessus, qui avait pourtant été mis en exergue par les mêmes experts (cf. consid. 4.2 supra). Il sera par ailleurs relevé qu'aux termes du rapport d'expertise (cf. p. 9), à la suite de sa quatrième hospitalisation à la Clinique de Belle-Idée, en mai 2019, la recourante avait refusé le suivi ambulatoire proposé et qu'elle s'était déjà précédemment soustraite à des traitements et hospitalisations en fuguant. S'il ne peut toutefois pas être exclu qu'un traitement en milieu ouvert soit prochainement susceptible d'offrir un cadre suffisamment structurant propre à atténuer le risque de récidive de manière rapide et significative, c'est quoi qu'il en soit au juge du fond qu'il appartiendra de déterminer, le cas échéant, la nécessité d'une mesure exécutée en milieu fermé, après avoir au besoin requis à ce sujet des précisions aux experts et aux différents intervenants médicaux. Dans l'intervalle, le SAPEM demeure pleinement compétent pour déterminer le choix de l'établissement approprié. Cela étant, en tant que le Ministère public a autorisé l'exécution anticipée de la mesure institutionnelle, mais s'oppose, compte tenu du risque de récidive, à une libération de la recourante tant qu'une place dans un établissement approprié ne lui a pas été trouvée, on ne distingue pas dans ce contexte d'incohérences ou de comportements contradictoires qui seraient constitutifs d'une violation du principe de la bonne foi en procédure (cf. art. 3 al. 2 let. a CPP ).</w:t>
      </w:r>
    </w:p>
    <w:p>
      <w:r>
        <w:rPr>
          <w:b/>
        </w:rPr>
        <w:t>E. 4.3.3</w:t>
      </w:r>
    </w:p>
    <w:p>
      <w:r>
        <w:t>La recourante paraît également se prévaloir d'une violation de l' art. 5 par. 1 let . e CEDH qui imposerait selon elle son placement immédiat dans un établissement psychiatrique approprié et adapté à son état de santé. Elle perd cependant de vue qu'en l'espèce, la détention est justifiée par l' art. 5 par. 1 let . c CEDH (détention avant jugement pour risque de récidive) et non par l' art. 5 par. 1 let . e CEDH (détention d'un aliéné). Ainsi, s'il est regrettable qu'en l'état, aucune place dans une institution appropriée n'ait été trouvée, il n'en demeure pas moins que la recourante bénéficie en son lieu de détention avant jugement d'un suivi psychiatrique régulier et a pu y entamer le traitement préconisé par expertise (cf. rapport du SMP de la Prison de Champ-Dollon du 13 juillet 2020, ch. 3 p. 2), ce qui est conforme aux exigences de l' art. 5 par. 1 CEDH (cf. en ce sens: arrêt 1B_317/2017 du 15 août 2017 consid. 2.2.2 et les références citées). Il aurait certes été préférable qu'avant de prononcer l'exécution anticipée de la mesure, le Ministère public se coordonne avec le SAPEM pour assurer la mise en oeuvre de la mesure dans des conditions adéquates (cf. également arrêt 1B_317/2017 précité consid. 2.2.2). Pour autant, si une période d'environ deux mois et demi s'est écoulée entre le prononcé de l'exécution anticipée de la mesure (13 mai 2020) et l'arrêt attaqué (23 juillet 2020), le maintien de la détention de la recourante en milieu pénitentiaire, motivé par l'existence d'un risque de récidive et par l'absence de place immédiatement disponible dans un établissement approprié, ne contrevient pas en l'état au principe de la célérité (cf. art. 5 al. 1 et 2 CPP ), pas plus qu'il ne constitue un déni de justice (cf. art. 29 al. 1 Cst. ).</w:t>
      </w:r>
    </w:p>
    <w:p>
      <w:r>
        <w:rPr>
          <w:b/>
        </w:rPr>
        <w:t>E. 4.3.4</w:t>
      </w:r>
    </w:p>
    <w:p>
      <w:r>
        <w:t>On relèvera par ailleurs qu'en principe, sauf à être spécifiquement préconisé comme tel par les experts, le placement institutionnel n'a pas vocation à être ordonné à titre de mesures de substitution au sens de l' art. 237 CPP , mais est susceptible de faire l'objet d'une exécution anticipée (cf. arrêt 1B_171/2019 du 8 mai 2019 consid. 3.1), ce qui est le cas en l'espèce. Des mesures de substitution portant sur un placement en institution apparaissent d'autant moins opportunes dans le cas présent dès lors qu'aucune place ne paraît immédiatement disponible dans un établissement approprié. Pour le reste, on ne voit pas que, compte tenu de l'intensité du risque de récidive redouté, d'autres mesures de substitution soient envisageables. Enfin, compte tenu de la gravité des faits reprochés à la recourante, de la durée, potentielle, de la mesure institutionnelle encourue et celle de la détention déjà subie - environ 7 mois et demi à la date de l'arrêt attaqué -, le principe de la proportionnalité demeure respecté sous l'angle temporel. On relèvera encore qu'une audience est prévue dans un proche avenir - le 14 septembre 2020 - au Tribunal correctionnel.</w:t>
      </w:r>
    </w:p>
    <w:p>
      <w:r>
        <w:rPr>
          <w:b/>
        </w:rPr>
        <w:t>E. 4.4</w:t>
      </w:r>
    </w:p>
    <w:p>
      <w:r>
        <w:t>Il résulte de ce qui précède que le maintien de la recourante doit être confirmé.</w:t>
      </w:r>
    </w:p>
    <w:p>
      <w:r>
        <w:rPr>
          <w:b/>
        </w:rPr>
        <w:t>E. 5</w:t>
      </w:r>
    </w:p>
    <w:p>
      <w:r>
        <w:t>La recourante conteste enfin la quotité des frais de la procédure de recours mis à sa charge par la cour cantonale en application des art. 428 al. 1 CPP et 13 al. 1 let. c du règlement cantonal fixant le tarif des frais en matière pénale (RTFMP; RS/GE E 4 10.03).</w:t>
      </w:r>
    </w:p>
    <w:p>
      <w:r>
        <w:rPr>
          <w:b/>
        </w:rPr>
        <w:t>E. 5.1</w:t>
      </w:r>
    </w:p>
    <w:p>
      <w:r>
        <w:t>Aux termes de l' art. 428 al. 1 CPP , les frais de la procédure de recours sont mis à la charge des parties dans la mesure où elles ont obtenu gain de cause ou succombé. L' art. 425 CPP prévoit que l'autorité pénale peut accorder un sursis pour le paiement des frais de procédure; elle peut réduire ou remettre les frais compte tenu de la situation de la personne astreinte à les payer. Le Tribunal fédéral n'examine qu'avec retenue les décisions concernant les frais de justice, car les tribunaux jouissent d'un large pouvoir d'appréciation en la matière ( ATF 145 I 52 consid. 5.2.4 p. 67). Il ne revoit par ailleurs le droit cantonal que sous l'angle de l'arbitraire ( ATF 145 I 108 consid. 4.4.1 p. 112).</w:t>
      </w:r>
    </w:p>
    <w:p>
      <w:r>
        <w:rPr>
          <w:b/>
        </w:rPr>
        <w:t>E. 5.2</w:t>
      </w:r>
    </w:p>
    <w:p>
      <w:r>
        <w:t>Alors que l' art. 13 al. 1 let . c RTFMP dispose que la Chambre pénale de recours peut prélever, outre les émoluments généraux, des émoluments compris entre 100 fr. et 20'000 fr. s'agissant d'une décision rendue sur recours, celle-ci a fixé en l'espèce les frais à 600 fr. "pour tenir compte de [l]a situation financière [de la recourante]" (cf. arrêt attaqué, consid. 5 p. 7). En tant que la recourante soutient que, pour tenir adéquatement compte de sa situation financière, extrêmement précaire, la cour cantonale n'aurait dû mettre les frais à sa charge qu'à hauteur du minimum prévu par l'art. 13 al. 1 RTFMP, en l'occurrence 100 fr., on ne saurait pour autant considérer que le montant de 600 fr., compris dans la fourchette basse de l'art. 13 al. 1 RTFMP, soit particulièrement excessif au regard de l'importance de la cause, ni qu'il relève d'une application arbitraire du droit cantonal. Le grief est ainsi infondé.</w:t>
      </w:r>
    </w:p>
    <w:p>
      <w:r>
        <w:rPr>
          <w:b/>
        </w:rPr>
        <w:t>E. 6</w:t>
      </w:r>
    </w:p>
    <w:p>
      <w:r>
        <w:t>Il s'ensuit que le recours doit être rejeté. La recourante a demandé l'octroi de l'assistance judiciaire ( art. 64 al. 1 LTF ). Les conditions y relatives étant réunies, cette requête doit être admise. Il y a donc lieu de désigner Me Cédric Kurth en tant qu'avocat d'office de la recourante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