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1B_402/2018 vom 5. November 2018</w:t>
      </w:r>
    </w:p>
    <w:p>
      <w:r>
        <w:t>Bundesgericht, 2018-11-05, FR</w:t>
      </w:r>
    </w:p>
    <w:p>
      <w:r>
        <w:rPr>
          <w:b/>
        </w:rPr>
        <w:t xml:space="preserve">Quelle: </w:t>
      </w:r>
      <w:r>
        <w:t>https://mcp.opencaselaw.ch/entscheid/bger_1B_402_2018</w:t>
      </w:r>
    </w:p>
    <w:p>
      <w:r>
        <w:t>FR: TF 1B_402/2018 du 5 novembre 2018</w:t>
      </w:r>
    </w:p>
    <w:p>
      <w:r>
        <w:t>IT: TF 1B_402/2018 del 5 novembre 2018</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rejetée, a qualité pour recourir en vertu de l' art. 81 al. 1 LTF . Pour le surplus, le recours a été interjeté en temps utile ( art. 100 al. 1 LTF ) contre une décision rendue en instance cantonale unique (art. 80 al. 2 in fine LTF) et les conclusions prises sont recevables ( art. 107 LTF ). Partant, il y a lieu d'entrer en matière.</w:t>
      </w:r>
    </w:p>
    <w:p>
      <w:r>
        <w:rPr>
          <w:b/>
        </w:rPr>
        <w:t>E. 2</w:t>
      </w:r>
    </w:p>
    <w:p>
      <w:r>
        <w:t>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s. et les arrêts cités).</w:t>
      </w:r>
    </w:p>
    <w:p>
      <w:r>
        <w:t>En l'espèce, le recourant débute son recours, sous le titre "A. Introduction", par une présentation personnelle des faits qui diverge sur certains points des constatations cantonales. Il ne cherche pas à démontrer, dans cette première partie, en quoi les faits en question auraient été établis de manière arbitraire. On n'examinera ces développements que dans la mesure où, dans la suite de son mémoire, le recourant présente, sur les mêmes points, une argumentation répondant aux exigences précitées.</w:t>
      </w:r>
    </w:p>
    <w:p>
      <w:r>
        <w:rPr>
          <w:b/>
        </w:rPr>
        <w:t>E. 3</w:t>
      </w:r>
    </w:p>
    <w:p>
      <w:r>
        <w:t>Invoquant une violation de l'interdiction de l'arbitraire ( art. 9 Cst. ) et de son droit d'être entendu ( art. 29 Cst. ) ainsi que de l' art. 112 al. 1 let. a et b LTF , le recourant reproche à l'autorité précédente de n'avoir pas fait figurer dans la décision attaquée l'ensemble des motifs de récusation soulevés dans sa requête du 28 mars 2018, respectivement de n'avoir pas statué sur ceux-ci. Pour justifier sa demande de récusation au sens de l' art. 56 let . f CPP, il invoque, en substance, une violation répétée de son droit de participer à l'administration des preuves, la conservation de documents protégés par l' art. 264 CPP , en violation de l' art. 248 al. 2 CPP , la prise de connaissance illicite de documents relevant du secret professionnel de l'avocat, le tri illicite de documents mis sous scellés, la violation de l'égalité des parties et de son droit d'être entendu ainsi que le refus de donner suite à ses réquisitions de preuves. Il soutient en outre que le Procureur n'aurait pas respecté le principe de la bonne foi en transgressant un engagement donné lors d'un appel téléphonique avec son avocat, respectivement en produisant, devant l'instance cantonale de recours, une pièce ouvertement altérée.</w:t>
      </w:r>
    </w:p>
    <w:p>
      <w:r>
        <w:rPr>
          <w:b/>
        </w:rPr>
        <w:t>E. 3.1</w:t>
      </w:r>
    </w:p>
    <w:p>
      <w:r>
        <w:t>Le droit d'être entendu découlant des art. 29 al. 2 Cst. et 3 al. 2 let. c CPP implique notamment pour le juge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(cf. ATF 142 III 433 consid. 4.3.2 p. 436).</w:t>
      </w:r>
    </w:p>
    <w:p>
      <w:r>
        <w:rPr>
          <w:b/>
        </w:rPr>
        <w:t>E. 3.2</w:t>
      </w:r>
    </w:p>
    <w:p>
      <w:r>
        <w:t>Un magistrat est récusable, aux termes de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w:t>
      </w:r>
    </w:p>
    <w:p>
      <w:r>
        <w:rPr>
          <w:b/>
        </w:rPr>
        <w:t>E. 3.3</w:t>
      </w:r>
    </w:p>
    <w:p>
      <w:r>
        <w:t>En l'espèce, s'agissant des griefs du recourant relatifs à l'administration des preuves, savoir le fait que le Procureur n'aurait pas donné suite à sa réquisition de production des rapports et analyses effectués par la Direction générale de l'environnement (grief n</w:t>
      </w:r>
    </w:p>
    <w:p>
      <w:r>
        <w:t>o 1), aurait refusé de verser au dossier des éléments à décharge réunis dans des enquêtes parallèles (grief n</w:t>
      </w:r>
    </w:p>
    <w:p>
      <w:r>
        <w:t>o 2) et rejeté de "nombreuses réquisitions de preuves présentées par le prévenu C.________" (grief n</w:t>
      </w:r>
    </w:p>
    <w:p>
      <w:r>
        <w:t>o 10), il apparaît que ces éléments relèvent de l'appréciation anticipée des preuves qui peut, le cas échéant, être critiquée dans le cadre d'une procédure de recours (cf. art. 379 ss CPP ), mais ne dénotent pas en l'espèce, une apparence de prévention, du moins le recourant ne parvient pas à la rendre vraisemblable.</w:t>
      </w:r>
    </w:p>
    <w:p>
      <w:r>
        <w:t>Quant à l'appréciation de la cour cantonale qui a considéré que l'allégation du recourant selon laquelle le Procureur aurait altéré la teneur d'un mémoire soumis au secret professionnel et soutenu à tort que le document en question serait exploitable parce qu'il aurait soi-disant pour auteur l'Etat de Vaud n'était pas établie (grief n</w:t>
      </w:r>
    </w:p>
    <w:p>
      <w:r>
        <w:t>o 6), le recourant ne démontre pas qu'elle serait arbitraire, c'est-à-dire manifestement insoutenable, et il n'apparaît pas que tel soit le cas, au vu du résultat de l'analyse de la Haute école de gestion de Genève produite par le recourant. Dès lors, on ne saurait, à ce stade, en déduire une impartialité du Procureur sur ce point.</w:t>
      </w:r>
    </w:p>
    <w:p>
      <w:r>
        <w:t>Pour le reste, la cour cantonale n'a pas discuté précisément des autres éléments avancés par le recourant. Ce dernier a pourtant allégué, en particulier dans le grief n</w:t>
      </w:r>
    </w:p>
    <w:p>
      <w:r>
        <w:t>o 9 de sa requête du 28 mars 2018, avoir été privé de son droit de participer à l'administration des preuves garanti par l' art. 147 CPP lors de l'audition d'une des co-prévenus, le 8 mai 2017 (la violation de cette disposition invoquée par le recourant en faveur des autres co-prévenus n'étant pas relevante). Cet élément de fait précis - qui pourrait constituer une violation de ce droit - ne figure pas dans l'arrêt entrepris. On ignore donc si la cour cantonale l'a considéré comme avéré ou non. La cour cantonale ne traite pas non plus les griefs n</w:t>
      </w:r>
    </w:p>
    <w:p>
      <w:r>
        <w:t>os</w:t>
      </w:r>
    </w:p>
    <w:p>
      <w:r>
        <w:rPr>
          <w:b/>
        </w:rPr>
        <w:t>E. 4</w:t>
      </w:r>
    </w:p>
    <w:p>
      <w:r>
        <w:t>Le recours est admis dans la mesure où il est recevable. L'arrêt attaqué est annulé et la cause est renvoyée à l'autorité précédente pour qu'elle rende une nouvelle décision au sens des considérants.</w:t>
      </w:r>
    </w:p>
    <w:p>
      <w:r>
        <w:t>Le recourant, qui obtient gain de cause avec l'assistance d'un avocat, a droit à des dépens à la charge du canton de Vaud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