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1B_401/2015 vom 30. November 2015</w:t>
      </w:r>
    </w:p>
    <w:p>
      <w:r>
        <w:t>Bundesgericht, 2015-11-30, DE</w:t>
      </w:r>
    </w:p>
    <w:p>
      <w:r>
        <w:rPr>
          <w:b/>
        </w:rPr>
        <w:t xml:space="preserve">Quelle: </w:t>
      </w:r>
      <w:r>
        <w:t>https://mcp.opencaselaw.ch/entscheid/bger_1B_401_2015</w:t>
      </w:r>
    </w:p>
    <w:p>
      <w:r>
        <w:t>FR: TF 1B_401/2015 du 30 novembre 2015</w:t>
      </w:r>
    </w:p>
    <w:p>
      <w:r>
        <w:t>IT: TF 1B_401/2015 del 30 novembre 2015</w:t>
      </w:r>
    </w:p>
    <w:p>
      <w:pPr>
        <w:pStyle w:val="Heading2"/>
      </w:pPr>
      <w:r>
        <w:t>Erwägungen</w:t>
      </w:r>
    </w:p>
    <w:p>
      <w:r>
        <w:rPr>
          <w:b/>
        </w:rPr>
        <w:t>E. 1</w:t>
      </w:r>
    </w:p>
    <w:p>
      <w:r>
        <w:t>Auf die Beschwerde ist aus den gleichen Gründen und im gleichen Umfang einzutreten wie im früheren Verfahren 1B_171/2015.</w:t>
      </w:r>
    </w:p>
    <w:p>
      <w:r>
        <w:rPr>
          <w:b/>
        </w:rPr>
        <w:t>E. 2</w:t>
      </w:r>
    </w:p>
    <w:p>
      <w:r>
        <w:t>Sicherheitshaft kann unter anderem angeordnet werden, wenn ein dringender Tatverdacht in Bezug auf ein Verbrechen oder Vergehen sowie Fluchtgefahr besteht ( Art. 221 Abs. 1 lit. a StPO ).</w:t>
      </w:r>
    </w:p>
    <w:p>
      <w:r>
        <w:rPr>
          <w:b/>
        </w:rPr>
        <w:t>E. 2.1</w:t>
      </w:r>
    </w:p>
    <w:p>
      <w:r>
        <w:t>Das Obergericht hat im angefochtenen Entscheid den dringenden Tatverdacht bejaht. Es hat dabei auf seinen im Verfahren 1B_171/2015 ergangenen Entscheid vom 8. Mai 2015, welcher vom Bundesgericht am 27. Mai 2015 geschützt wurde, verwiesen. Es erwog, die zwischenzeitlich vorliegende Begründung des erstinstanzlichen Freispruchs vermöge nichts daran zu ändern, dass der Beschwerdeführer der ihm vorgeworfenen Taten dringend verdächtig sei. Es liege eine "Aussage-gegen-Aussage-Konstellation" vor; eine solche müsse keineswegs zwingend zu einem Freispruch führen. Im Haftprüfungsverfahren sei keine umfassende Beweiswürdigung vorzunehmen. Das Vorliegen der vorinstanzlichen Urteilsbegründung ändere nichts daran, dass aufgrund einer summarischen Beweiswürdigung die Aussagen der Privatklägerin glaubhafter seien als diejenigen des Beschwerdeführers.</w:t>
      </w:r>
    </w:p>
    <w:p>
      <w:r>
        <w:rPr>
          <w:b/>
        </w:rPr>
        <w:t>E. 2.2</w:t>
      </w:r>
    </w:p>
    <w:p>
      <w:r>
        <w:t>Das Bezirksgericht ist in einer umfassenden und sorgfältigen Beweiswürdigung zum (offenbar einstimmigen) Schluss gekommen, die Anklagevorwürfe seien nicht erstellt, weshalb der Beschwerdeführer freizusprechen sei (E. 2 S. 10-37). Nachdem damit die abschliessende Beweiswürdigung des erstinstanzlichen Strafgerichts schriftlich vorliegt, kann sich das Obergericht nicht mehr wie bisher (vgl. E. 5.4.1 des Bundesgerichtsurteils 1B_171/2015) auf die Feststellung beschränken, bei einer summarischen Prüfung der Beweislage erschienen die Aussagen der Privatklägerin glaubhafter als diejenigen des Beschwerdeführers. Das Urteil des Bezirksgerichts ist einzubeziehen. Das Obergericht wäre daher gehalten gewesen darzulegen, weshalb es trotz des Freispruchs daran festhält, dass nach wie vor ein dringender Tatverdacht gegen den Beschwerdeführer besteht. In der Natur der Sache liegt, dass sich besonders in dieser Konstellation bei der Prüfung des dringenden Tatverdachts zumindest teilweise die gleichen Fragen stellen wie später bei der abschliessenden Beweiswürdigung des Berufungsgerichts, allerdings unter verschiedenen Gesichtspunkten und in unterschiedlicher Intensität. Vorliegend geht es um die summarische Prüfung des Tatverdachts, im Berufungsverfahren um abschliessende Beurteilung der Täterschaft.</w:t>
      </w:r>
    </w:p>
    <w:p>
      <w:r>
        <w:t>Unter Berücksichtigung der vorinstanzlichen Urteilsbegründung ergibt sich, dass sich der dringende Tatverdacht gegen den Beschwerdeführer jedenfalls stark relativiert hat. Immerhin ist der Ausgang des Berufungsverfahrens gerade in einer "Aussage-gegen-Aussage-Konstellation" naturgemäss völlig offen. Dazu kommt, dass in Basel-Stadt ein Strafverfahren aufgrund gleichgelagerter Vorwürfe der Privatklägerin zu einer erstinstanzlichen Verurteilung des Beschwerdeführers geführt hat; das Berufungsverfahren ist offenbar noch hängig. Unter diesen Umständen rechtfertigt sich insbesondere auch im Hinblick auf die gebotene rasche Erledigung des Haftprüfungsverfahrens und dessen Ausgang, die allgemeine Haftvoraussetzung ohne Weiterungen als erfüllt anzunehmen.</w:t>
      </w:r>
    </w:p>
    <w:p>
      <w:r>
        <w:rPr>
          <w:b/>
        </w:rPr>
        <w:t>E. 2.3</w:t>
      </w:r>
    </w:p>
    <w:p>
      <w:r>
        <w:t>Das Obergericht hat in seinem Entscheid vom 8. Mai 2015 Fluchtgefahr bejaht, weil dem Beschwerdeführer für den Fall einer Verurteilung einerseits eine empfindliche Strafe sowie der Verlust der Aufenthaltsberechtigung in der Schweiz droht. Anderseits hat er seine Metzgerei an seine Schwester verkauft. Er ist damit geschäftlich nicht mehr gebunden und könnte sich damit leicht in sein Heimatland Türkei absetzen, wo er über ein intaktes familiäres Umfeld verfügt. Das Bundesgericht hat diese Einschätzung im Urteil 1B_171/2015 vom 27. Mai 2015 ausdrücklich geschützt (E. 6 S. 6 ff.).</w:t>
      </w:r>
    </w:p>
    <w:p>
      <w:r>
        <w:t>Der Beschwerdeführer bestreitet das Vorliegen von Fluchtgefahr im Wesentlichen mit einem Verweis auf das erstinstanzliche Urteil, was nicht zulässig ist, da die Beschwerdebegründung in der Beschwerde selber enthalten sein muss ( Art. 42 Abs. 2 BGG ; BGE 134 II 244 E. 2.1; vgl. 133 II 396 E. 3.1). Allerdings trifft zu, dass die Fluchtgefahr mit zunehmender Dauer der erstandenen Haft abnimmt. Vorliegend ist der Beschwerdeführer seit rund 1 ½ Jahren inhaftiert und hat damit einen nicht unerheblichen Teil der bei einem Schuldspruch zu erwartenden Strafe abgesessen. Dazu kommt, dass die Anklage gegen ihn vor Bezirksgericht keinen Bestand hatte, sodass er darauf hoffen kann, dies werde sich im Berufungsverfahren nicht ändern. Es ist damit davon auszugehen, dass die vormals ausgeprägte Fluchtgefahr (Urteil 1B_171/2015 E. 6.5) nach wie weiterbesteht, sich aber deutlich relativiert hat.</w:t>
      </w:r>
    </w:p>
    <w:p>
      <w:r>
        <w:rPr>
          <w:b/>
        </w:rPr>
        <w:t>E. 2.4</w:t>
      </w:r>
    </w:p>
    <w:p>
      <w:r>
        <w:t>Zusammenfassend ergibt sich, dass der für eine Zwangsmassnahme erforderliche Tatverdacht zwar noch (oben E. 2.2) bejaht werden kann. Fluchtgefahr besteht ebenfalls nach wie vor, sie wurde indessen durch die Dauer der bereits erstandenen Untersuchungs- und Sicherheitshaft und das nunmehr in begründeter Form vorliegende Urteil des Bezirksgerichts soweit vermindert (oben E. 2.3), dass eine bzw. eine Kombination von Ersatzmassnahmen im Sinn von Art. 237 StPO ausreichend erscheint, den Beschwerdeführer von einer Flucht abzuhalten. Die Fortführung der Haft erweist sich damit unter dem Gesichtspunkt der Verhältnismässigkeit als unzulässig. Nicht bundesrechtswidrig wäre zudem, dem Beschwerdeführer zur Sicherstellung des reibungslosen Gangs des Berufungsverfahrens bzw. zur Bannung einer in dieser Konstellation grundsätzlich nie völlig auszuschliessenden Kollusionsgefahr ein Kontaktverbot zur Privatklägerin und allfälligen vom Berufungsgericht vorzuladenden Belastungszeugen aufzuerlegen. Der Verfahrensleitung des Berufungsgerichts ist Gelegenheit zu geben, solche Massnahmen zu treffen und zu organisieren. Der Beschwerdeführer ist daher nicht sofort zu entlassen, sondern spätestens 5 Arbeitstage nach Zustellung des bundesgerichtlichen Urteils.</w:t>
      </w:r>
    </w:p>
    <w:p>
      <w:r>
        <w:rPr>
          <w:b/>
        </w:rPr>
        <w:t>E. 3.1</w:t>
      </w:r>
    </w:p>
    <w:p>
      <w:r>
        <w:t>Die Beschwerde ist somit gutzuheissen, Ziffer 1 des angefochtenen Entscheids aufzuheben und die Verfahrensleitung des Berufungsgerichts anzuweisen, den Beschwerdeführer spätestens 5 Arbeitstage nach Zustellung dieses Urteils nach Anordnung von Ersatzmassnahmen aus der Haft zu entlassen. Bei diesem Ausgang des Verfahrens sind keine Kosten zu erheben ( Art. 66 Abs. 4 BGG ), und der Kanton Aargau hat dem Beschwerdeführer eine angemessene Parteientschädigung zu bezahlen ( Art. 68 Abs. 2 BGG ).</w:t>
      </w:r>
    </w:p>
    <w:p>
      <w:r>
        <w:rPr>
          <w:b/>
        </w:rPr>
        <w:t>E. 3.2</w:t>
      </w:r>
    </w:p>
    <w:p>
      <w:r>
        <w:t>Der Beschwerdeführer hat, wie bereits im Verfahren 1B_143/2015, den Verfahrensantrag gestellt, das Urteil sofort nach seiner Fällung im Dispositiv zuzustellen. Es wurde ihm indessen bereits in E. 4.2 des Urteils 1B_143/2015 vom 5. Mai 2015 erläutert, dass und weshalb ein solcher Antrag abzuweisen ist. Darauf wird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