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1B_400/2019 vom 5. September 2019</w:t>
      </w:r>
    </w:p>
    <w:p>
      <w:r>
        <w:t>Bundesgericht, 2019-09-05, DE</w:t>
      </w:r>
    </w:p>
    <w:p>
      <w:r>
        <w:rPr>
          <w:b/>
        </w:rPr>
        <w:t xml:space="preserve">Quelle: </w:t>
      </w:r>
      <w:r>
        <w:t>https://mcp.opencaselaw.ch/entscheid/bger_1B_400_2019</w:t>
      </w:r>
    </w:p>
    <w:p>
      <w:r>
        <w:t>FR: TF 1B_400/2019 du 5 septembre 2019</w:t>
      </w:r>
    </w:p>
    <w:p>
      <w:r>
        <w:t>IT: TF 1B_400/2019 del 5 settembre 2019</w:t>
      </w:r>
    </w:p>
    <w:p>
      <w:pPr>
        <w:pStyle w:val="Heading2"/>
      </w:pPr>
      <w:r>
        <w:t>Erwägungen</w:t>
      </w:r>
    </w:p>
    <w:p>
      <w:r>
        <w:rPr>
          <w:b/>
        </w:rPr>
        <w:t>E. 1</w:t>
      </w:r>
    </w:p>
    <w:p>
      <w:r>
        <w:t>Angefochten ist der kantonal letztinstanzliche Haftentscheid des Appellationsgerichts.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Flucht-, Kollusions- oder Wiederholungsgefahr besteht ( Art. 221 Abs. 1 StPO ).</w:t>
      </w:r>
    </w:p>
    <w:p>
      <w:r>
        <w:rPr>
          <w:b/>
        </w:rPr>
        <w:t>E. 2.1</w:t>
      </w:r>
    </w:p>
    <w:p>
      <w:r>
        <w:t>Unbestritten ist der Beschwerdeführer dringend verdächtig, Verbrechen und Vergehen begangen zu haben. Laut Anklageschrift vom 18. Juni 2019 soll er u.a. an einem Handel von 50 g Kokain beteiligt gewesen sein ( Art. 19 Abs. 2 BetmG ), im Dezember 2018 seinen Bruder und dessen einjährigen Sohn mit dem Tod bedroht haben, nachdem ihm ersterer kein Geld mehr geben wollte ( Art. 180 StGB ), und am 20. und am 27. Dezember 2018 sowie am 6. Januar 2019 seine Mutter geschlagen und mit dem Tod bedroht haben ( Art. 123, 180 StGB ). Am 3. März 2019 soll er trotz bestehendem Hausverbot das Gartenhaus seines Bruders betreten haben und einem Nachbarn, der ihn wegwies, erklärt haben, eine Bombe zu legen und den Garten in Brand zu setzen ( Art. 180, 186 StGB ). Am 15. März 2019 soll er erneut unter Missachtung des Hausverbots das Gartenareal seines Bruders betreten haben ( Art. 186 StGB ). Der allgemeine Haftgrund ist damit ohne Weiteres gegeben.</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w:t>
      </w:r>
    </w:p>
    <w:p>
      <w:r>
        <w:rPr>
          <w:b/>
        </w:rPr>
        <w:t>E. 2.3</w:t>
      </w:r>
    </w:p>
    <w:p>
      <w:r>
        <w:t>Der Beschwerdeführer führte vor seiner Inhaftierung ein unstetes Leben ohne festen Wohnsitz und beging nach der immerhin über 20 Tatvorwürfe enthaltenden Anklageschrift immer wieder und in kurzen Abständen Straftaten. Auch wenn diese, isoliert betrachtet, teilweise nicht allzu schwerwiegend sein mögen, so fällt doch ein zunehmend aggressives Verhalten gegen seine Mutter auf, die er nach der Anklage wiederholt tätlich angegriffen und mit dem Tod bedroht haben soll. Auch seinen Bruder, und - besonders belastend - dessen kleinen Sohn soll er ebenfalls wiederholt massiv bedroht haben. Er hat sich dabei weder von Verhaftungen noch von der Anordnung von Untersuchungshaft von der Begehung weiterer Straftaten abhalten lassen und Haus-, Rayon- und Kontaktverbote regelmässig verletzt. Unter diesen Umständen wirkt seine Beteuerung, er werde sich nunmehr an die Bewährungshilfe wenden, sich um eine feste Unterkunftsmöglichkeit bemühen und ein geregeltes Leben führen, wenig überzeugend. Dazu hatte er schon früher Anlass und Gelegenheit - zuletzt nach dem 6. März 2019, als der Zwangsmassnahmenrichter von der Anordnung von Untersuchungshaft absah und ihn unter Auflagen in die Freiheit entliess -, ohne dass ihn dies davon abgehalten hätte, weiter zu delinquieren. Es ist daher ernsthaft zu befürchten, dass er in Freiheit seine Mutter und seinen Bruder weiterhin massiv belästigen und bedrohen würde, wobei sein Vorgehen zunehmend aggressiver werden könnte, je länger die Mutter und der Bruder seinen Wünschen nach finanzieller und anderweitiger Unterstützung nicht nachkommen. Dass er offenbar mit seiner Mutter freiwillig ein "Kontakt- und Annäherungsverbot" vereinbart hat, ändert daran nichts, da er sich in der Vergangenheit an solche Verbote wiederholt nicht gehalten hat. Dazu gilt es, das laufende und wegen der Mehrzahl der Beschuldigten aufwändige Strafverfahren innert vernünftiger Frist abzuschliessen, ohne dass es durch neue Delikte, wie sie vom Beschwerdeführer in Freiheit zu erwarten wären, immer wieder ausgedehnt werden müsste. Das Appellationsgericht hat kein Bundesrecht verletzt, indem es Wiederholungsgefahr annahm.</w:t>
      </w:r>
    </w:p>
    <w:p>
      <w:r>
        <w:rPr>
          <w:b/>
        </w:rPr>
        <w:t>E. 2.4</w:t>
      </w:r>
    </w:p>
    <w:p>
      <w:r>
        <w:t>Wie sich aus den Ausführungen in E. 2.3 ergibt, ist die vom Beschwerdeführer vorgeschlagene Ersatzmassnahme - die Auflage, sich bei der Bewährungshilfe zu melden und eine Wohnung zu suchen - nicht geeignet, die Wiederholungsgefahr zu bannen. Dass die Fortführung der Haft von bisher insgesamt gut 9 Monaten in zeitlicher Hinsicht unverhältnismässig wäre, macht der Beschwerdeführer nicht substantiiert geltend und ist auch nicht ersichtlich.</w:t>
      </w:r>
    </w:p>
    <w:p>
      <w:r>
        <w:rPr>
          <w:b/>
        </w:rPr>
        <w:t>E. 3</w:t>
      </w:r>
    </w:p>
    <w:p>
      <w:r>
        <w:t>Die Beschwerde erweist sich somit als unbegründet und ist abzuweisen. Bei diesem Ausgang des Verfahrens wird der Beschwerdeführer an sich kostenpflichtig ( Art. 66 Abs. 1 BGG ). Er hat indessen ein Gesuch um unentgeltliche Rechtspflege und Verbeiständung gestellt, welches gutzuheissen ist, da die Mittellosigkeit des Beschwerdeführers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