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1B_400/2017 vom 18. Oktober 2017</w:t>
      </w:r>
    </w:p>
    <w:p>
      <w:r>
        <w:t>Bundesgericht, 2017-10-18, FR</w:t>
      </w:r>
    </w:p>
    <w:p>
      <w:r>
        <w:rPr>
          <w:b/>
        </w:rPr>
        <w:t xml:space="preserve">Quelle: </w:t>
      </w:r>
      <w:r>
        <w:t>https://mcp.opencaselaw.ch/entscheid/bger_1B_400_2017</w:t>
      </w:r>
    </w:p>
    <w:p>
      <w:r>
        <w:t>FR: TF 1B_400/2017 du 18 octobre 2017</w:t>
      </w:r>
    </w:p>
    <w:p>
      <w:r>
        <w:t>IT: TF 1B_400/2017 del 18 ottobre 2017</w:t>
      </w:r>
    </w:p>
    <w:p>
      <w:pPr>
        <w:pStyle w:val="Heading2"/>
      </w:pPr>
      <w:r>
        <w:t>Erwägungen</w:t>
      </w:r>
    </w:p>
    <w:p>
      <w:r>
        <w:rPr>
          <w:b/>
        </w:rPr>
        <w:t>E. 1</w:t>
      </w:r>
    </w:p>
    <w:p>
      <w:r>
        <w:t>Le recours en matière pénale ( art. 78 al.1 LTF ) est ouvert contre une décision relative à la demande d'exécution anticipée des peines et mesures au sens de l' art. 236 CPP (arrêt 1B_127/2017 du 20 avril 2017 consid. 1.1). Formé en temps utile ( art. 100 al. 1 LTF ) contre un prononcé pris en dernière instance cantonale ( art. 80 LTF ) et qui touche le recourant dans ses intérêts juridiquement protégés (art. 81 al. 1 let. a et b ch. 1 LTF), le recours en matière pénale est recevable.</w:t>
      </w:r>
    </w:p>
    <w:p>
      <w:r>
        <w:rPr>
          <w:b/>
        </w:rPr>
        <w:t>E. 2</w:t>
      </w:r>
    </w:p>
    <w:p>
      <w:r>
        <w:t>Le recourant reproche à l'instance précédente d'avoir insuffisamment motivé sa décision, ne démontrant pas concrètement en quoi le stade actuel de la procédure ne permettrait pas un changement de régime de détention. Il fait aussi valoir que les circonstances de l'espèce ne permettent pas de retenir l'existence d'un risque de collusion concret et actuel. Enfin, il fait grief aux juges précédents de lui avoir appliqué, sans discernement, une jurisprudence relative à la traite d'êtres humains et à l'encouragement à la prostitution.</w:t>
      </w:r>
    </w:p>
    <w:p>
      <w:r>
        <w:t>Le recourant n'invoque pas spécifiquement une violation du droit d'être entendu ou un déni de justice en lien avec la prétendue insuffisance de motivation de la décision attaquée. Ce faisant, il ne réalise pas les conditions de recevabilité des griefs d'ordre constitutionnel telles que prévues par l' art. 106 al. 2 LTF . En tout état, la décision querellée expose les motifs qui ont conduit au refus de l'exécution anticipée de la peine, motifs que le recourant a parfaitement compris pour les attaquer devant la Cour de céans.</w:t>
      </w:r>
    </w:p>
    <w:p>
      <w:r>
        <w:t>Il convient donc de traiter les griefs du recours ensemble puisqu'ils reviennent en réalité tous à contester les conditions matérielles d'application de l' art. 236 CPP .</w:t>
      </w:r>
    </w:p>
    <w:p>
      <w:r>
        <w:rPr>
          <w:b/>
        </w:rPr>
        <w:t>E. 2.1</w:t>
      </w:r>
    </w:p>
    <w:p>
      <w:r>
        <w:t>Selon l' art. 236 al. 1 CPP ,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 ATF 143 IV 160 consid. 2.1). Dès l'entrée du prévenu dans l'établissement, l'exécution de la peine ou de la mesure commence et le prévenu est soumis au régime de l'exécution, sauf si le but de la détention provisoire ou de la détention pour des motifs de sûreté s'y oppose ( art. 236 al. 4 CPP ).</w:t>
      </w:r>
    </w:p>
    <w:p>
      <w:r>
        <w:t>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(arrêt 1B_189/2014 du 28 juillet 2014 consid. 2.3 et les références citées).</w:t>
      </w:r>
    </w:p>
    <w:p>
      <w:r>
        <w:t>Même après ce stade, l'exécution anticipée de la peine doit être refusée lorsqu'un risque élevé de collusion demeure de sorte que le but de la détention et les besoins de l'instruction seraient compromis si le régime de l'exécution anticipée devait être mis en oeuvre (arrêt 1B_449/2015 du 15 janvier 2016 consid. 2.3). Il appartient alors à l'autorité de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 art. 236 al. 4 CPP , en compromettrait l'accomplissement (arrêt 1B_127/2017 du 20 avril 2017 consid. 2.1).</w:t>
      </w:r>
    </w:p>
    <w:p>
      <w:r>
        <w:rPr>
          <w:b/>
        </w:rPr>
        <w:t>E. 2.2</w:t>
      </w:r>
    </w:p>
    <w:p>
      <w:r>
        <w:t>Pour apprécier le risque de collusion, la cour cantonale a retenu que le recourant avait exercé des pressions sur certaines filles qui travaillaient dans son établissement, notamment en les intimidant, en restreignant leur liberté ou en leur infligeant des mauvais traitements, faisant ainsi régner la terreur dans son entourage; il avait aussi incité une co-prévenue, témoin d'une grande partie des faits reprochés, à garder le silence; il avait en outre tenté d'influencer le cours de la procédure en envoyant des documents à des tiers et en proférant des menaces graves dans d'autres écrits destinés à d'autres tiers; il avait enfin affirmé son désir de vengeance envers tous ceux qui avaient déposé contre lui, en particulier envers la plaignante. Celle-ci avait déclaré, en septembre 2016, avoir peur de retourner au Portugal en raison des menaces de mort proférées par le recourant, lequel a de la famille dans ce pays.</w:t>
      </w:r>
    </w:p>
    <w:p>
      <w:r>
        <w:t>La cour cantonale a pris en considération le stade avancé de la procédure: dans la mesure où le recourant contestait avec véhémence les graves accusations portées contre lui, le risque de collusion demeurait jusqu'à l'audience de jugement, moment où les preuves essentielles et décisives devaient être administrées. Ces circonstances ainsi que le caractère dominateur du recourant fondaient un risque élevé de collusion, risque que le régime allégé de l'exécution anticipée de peine ne permettait pas d'écarter.</w:t>
      </w:r>
    </w:p>
    <w:p>
      <w:r>
        <w:rPr>
          <w:b/>
        </w:rPr>
        <w:t>E. 2.3</w:t>
      </w:r>
    </w:p>
    <w:p>
      <w:r>
        <w:t>Un tel raisonnement ne prête pas le flanc à la critique.</w:t>
      </w:r>
    </w:p>
    <w:p>
      <w:r>
        <w:t>Les éléments sur lesquels s'est fondée la cour cantonale pour retenir le risque de collusion sont précis et nombreux. La décision attaquée n'indique pas dans le détail quand le recourant a exprimé ses menaces et autres intimidations, mais la répétition et l'intensité de ces actes permettaient à la cour cantonale de retenir la persistance d'un danger concret et sérieux de manoeuvres propres à entraver la manifestation de la vérité, en particulier au préjudice de la plaignante. A raison, la cour cantonale s'est aussi référée au milieu dans lequel ont évolué le recourant et les autres parties à la procédure. Sans opérer de généralisation abusive, il pouvait être fait référence à la position du recourant en tant que tenancier d'un établissement pratiquant la prostitution, pour expliquer l'ascendant qu'il pouvait continuer à exercer sur ce personnel. Dans ce contexte, la mention de l' ATF 132 I 21 - qui traite pour partie des mêmes infractions que celles reprochées au recourant - n'est en rien critiquable. Cette référence est d'ailleurs ici accompagnée d'une description du caractère du recourant, ce qui démontre - contrairement à ce que soutient le recourant - que la cour cantonale s'est fondée sur les circonstances concrètes de l'espèce et n'a pas procédé à une simple généralisation déduite de la jurisprudence précitée.</w:t>
      </w:r>
    </w:p>
    <w:p>
      <w:r>
        <w:t>S'agissant du stade avancé de la présente procédure, il convient de constater que l'instruction préliminaire au sens de l' art. 299 al. 1 CPP est achevée ( art. 318 CPP ), que l'acte d'accusation est rédigé ( art. 325 CPP ) et que le tribunal a fixé les débats ( art. 331 CPP ). Ceux-ci comprennent la nouvelle administration des preuves dont la connaissance directe apparaît nécessaire au prononcé du jugement ( art. 343 al. 3 CPP ). Une nouvelle administration des preuves concerne avant tout les procédures où l'accusation repose essentiellement sur les déclarations de la victime, auxquelles s'opposent celles de l'auteur présumé ( ATF 143 IV 241 consid. 2.2.2 p. 243 ["Aussage gegen Aussage"-Situation]), ou celles s'appuyant sur de simples indices (arrêt 1B_81/2012 consid. 5.2 [reiner Indizien-prozess]). Le Tribunal fédéral a insisté sur le principe de l'oralité et de l'immédiateté des débats, lesquels conduisent à l'instruction définitive de l'affaire par le biais de l'intime conviction du juge: celui-ci doit non seulement tenir compte du contenu des témoignages, mais aussi de la manière dont s'expriment les témoins ( ATF 140 IV 196 consid. 4.4.2; Hauri/Venetz, in: Schweizerische Strafprozessordnung, Basler Kommentar, 2ème édition 2014, n. 21 ad Art. 343 CPP ; Niklaus Oberholzer, Grundzüge des Strafprozessrechts, 3ème édition 2012, n. 630; Piquerez/ Macaluso, Procédure pénale suisse, 3ème édition 2011, n. 630). Dans le contexte des infractions reprochées au recourant, la cour cantonale pouvait ainsi considérer que le risque d'influencer la victime, les co-prévenus et les témoins demeurait concret jusqu'à l'audience de jugement.</w:t>
      </w:r>
    </w:p>
    <w:p>
      <w:r>
        <w:t>Enfin, les juges cantonaux ont à bon droit considéré qu'une surveillance efficace des contacts du recourant avec l'extérieur était excessivement compliquée à mettre en place dans le cadre d'une exécution anticipée de peine. Cette appréciation est conforme au risque élevé de collusion que présenterait le recourant dans des conditions allégées de détention. Quant aux considérations personnelles du recourant sur les mesures de surveillance qui pourraient lui être appliquées, elles s'écartent des constatations de l'arrêt attaqué et ne permettent pas de tenir pour contraire au droit l'appréciation de la cour cantonale.</w:t>
      </w:r>
    </w:p>
    <w:p>
      <w:r>
        <w:rPr>
          <w:b/>
        </w:rPr>
        <w:t>E. 3</w:t>
      </w:r>
    </w:p>
    <w:p>
      <w:r>
        <w:t>Il s'ensuit que le recours est rejeté dans la mesure où il est recevable.</w:t>
      </w:r>
    </w:p>
    <w:p>
      <w:r>
        <w:t>Les conditions posées à l' art. 64 al. 1 LTF étant réunies, il convient de mettre le recourant au bénéfice de l'assistance judiciaire, de lui désigner Me Willy Lanz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