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1B_3/2022 vom 20. Januar 2022</w:t>
      </w:r>
    </w:p>
    <w:p>
      <w:r>
        <w:t>Bundesgericht, 2022-01-20, DE</w:t>
      </w:r>
    </w:p>
    <w:p>
      <w:r>
        <w:rPr>
          <w:b/>
        </w:rPr>
        <w:t xml:space="preserve">Quelle: </w:t>
      </w:r>
      <w:r>
        <w:t>https://mcp.opencaselaw.ch/entscheid/bger_1B_3_2022</w:t>
      </w:r>
    </w:p>
    <w:p>
      <w:r>
        <w:t>FR: TF 1B_3/2022 du 20 janvier 2022</w:t>
      </w:r>
    </w:p>
    <w:p>
      <w:r>
        <w:t>IT: TF 1B_3/2022 del 20 gennaio 2022</w:t>
      </w:r>
    </w:p>
    <w:p>
      <w:pPr>
        <w:pStyle w:val="Heading2"/>
      </w:pPr>
      <w:r>
        <w:t>Erwägungen</w:t>
      </w:r>
    </w:p>
    <w:p>
      <w:r>
        <w:rPr>
          <w:b/>
        </w:rPr>
        <w:t>E. 1.1</w:t>
      </w:r>
    </w:p>
    <w:p>
      <w:r>
        <w:t>Gegen den angefochtenen Entscheid steht die Beschwerde in Strafsachen nach Art. 78 Abs. 1 BGG offen. Das Obergericht hat gemäss Art. 233 in Verbindung mit Art. 380 StPO als letzte kantonale Instanz entschieden (vgl. Art. 80 BGG ). Der angefochtene Entscheid stellt einen Zwischenentscheid dar, der dem Beschwerdeführer einen nicht wieder gutzumachenden Nachteil im Sinne von Art. 93 Abs. 1 lit. a BGG verursacht. Die Beschwerde erweist sich daher als grundsätzlich zulässig.</w:t>
      </w:r>
    </w:p>
    <w:p>
      <w:r>
        <w:rPr>
          <w:b/>
        </w:rPr>
        <w:t>E. 1.2</w:t>
      </w:r>
    </w:p>
    <w:p>
      <w:r>
        <w:t>Der Beschwerdeführer war am vorinstanzlichen Verfahren beteiligt und ist als betroffener Häftling gemäss Art. 81 Abs. 1 lit. a und b Ziff. 1 BGG zur Beschwerde berechtigt.</w:t>
      </w:r>
    </w:p>
    <w:p>
      <w:r>
        <w:rPr>
          <w:b/>
        </w:rPr>
        <w:t>E. 1.3</w:t>
      </w:r>
    </w:p>
    <w:p>
      <w:r>
        <w:t>Mit der Beschwerde in Strafsachen an das Bundesgericht kann insbesondere die Verletzung von Bundesrecht gerügt werden ( Art. 95 lit. a BGG ). Der Beschwerdeführer macht einen solchen Verstoss gegen Bundesrecht geltend.</w:t>
      </w:r>
    </w:p>
    <w:p>
      <w:r>
        <w:rPr>
          <w:b/>
        </w:rPr>
        <w:t>E. 1.4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 95 BGG beruht (vgl. Art. 97 Abs. 1 und 105 Abs. 2 BGG). Eine offensichtlich unrichtige Feststellung des Sachverhalts wird nicht gerügt und ist auch nicht ersichtlich.</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Untersuchungs- und Sicherheitshaft sind nur zulässig, wenn ein dringender Tatverdacht für ein Verbrechen oder Vergehen vorliegt und ein gesetzlicher Haftgrund besteht. Dazu zählt insbesondere Fluchtgefahr (vgl. Art. 221 Abs. 1 StPO ). Der dringende Tatverdacht ist im vorliegenden Fall durch das erstinstanzliche Strafurteil belegt und auch nicht strittig. Der Beschwerdeführer bestreitet jedoch das Vorliegen von Fluchtgefahr bzw. macht geltend, das Obergericht habe jedenfalls Bundesrecht verletzt, indem es nicht wenigstens mildere Ersatzmassnahmen anstelle von Haft angeordnet habe.</w:t>
      </w:r>
    </w:p>
    <w:p>
      <w:r>
        <w:rPr>
          <w:b/>
        </w:rPr>
        <w:t>E. 2.2</w:t>
      </w:r>
    </w:p>
    <w:p>
      <w:r>
        <w:t>Die Annahme von Fluchtgefahr als besonderem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S. 167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268 E. 2e).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w:t>
      </w:r>
    </w:p>
    <w:p>
      <w:r>
        <w:rPr>
          <w:b/>
        </w:rPr>
        <w:t>E. 2.3</w:t>
      </w:r>
    </w:p>
    <w:p>
      <w:r>
        <w:t>Strafprozessuale Haft darf freilich nur als letztes Mittel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 Rechnung zu tragen. Bei ausgeprägter Fluchtgefahr erweisen sich Ersatzmassnahmen nach der einschlägigen Praxis des Bundesgerichts jedoch regelmässig als nicht ausreichend ( BGE 145 IV 503 E. 3.2 f.; Urteil des Bundesgerichts 1B_264/2020 vom 17. Juni 2020 E. 6.1).</w:t>
      </w:r>
    </w:p>
    <w:p>
      <w:r>
        <w:rPr>
          <w:b/>
        </w:rPr>
        <w:t>E. 2.4</w:t>
      </w:r>
    </w:p>
    <w:p>
      <w:r>
        <w:t>Art. 237 Abs. 2 StPO zählt verschiedene mögliche Ersatzmassnahmen auf, worunter namentlich die Ausweis- und Schriftensperre (lit. b), die Auflage, sich nur oder sich nicht an einem bestimmten Ort oder in einem bestimmten Haus aufzuhalten (lit. c), sowie die Auflage, sich regelmässig bei einer Amtsstelle zu melden (lit. d); sodann kann das Gericht gemäss der ausdrücklichen gesetzlichen Anordnung in Art. 237 Abs. 3 StPO zur Überwachung von Ersatzmassnahmen den Einsatz technischer Geräte und deren feste Verbindung mit der zu überwachenden Person vorsehen. Unter dem Gesichtspunkt der Verhältnismässigkeit ist überdies die Möglichkeit der Kombination der gesetzlich vorgesehenen Ersatzmassnahmen zu prüfen. Die Eignung und Rechtmässigkeit von Ersatzmassnahmen ist nicht nur an der Wahrscheinlichkeit einer Flucht, sondern auch an den zeitlichen Verhältnissen des Einzelfalles zu messen (Urteil des Bundesgerichts 1B_264/2020 vom 17. Juni 2020 E. 6.2 und 6.3).</w:t>
      </w:r>
    </w:p>
    <w:p>
      <w:r>
        <w:rPr>
          <w:b/>
        </w:rPr>
        <w:t>E. 3.1</w:t>
      </w:r>
    </w:p>
    <w:p>
      <w:r>
        <w:t>Im vorliegenden Fall stellte das Obergericht massgeblich darauf ab, dass mit dem erstinstanzlichen Strafurteil die Wahrscheinlichkeit des Vollzugs einer langjährigen Freiheitsstrafe gestiegen und dadurch die Fluchtgefahr deutlich verstärkt worden sei. Auch wegen der ausgesprochenen Landesverweisung bestehe ein gewichtiger Fluchtanreiz. Zudem seien mit dem erstinstanzlichen Strafurteil die vom Beschwerdeführer bezogenen Versicherungsleistungen als Einnahmequelle weggefallen. Der Beschwerdeführer sei sodann in familiärer, sozialer, beruflicher und finanzieller Hinsicht in der Schweiz nicht besser verankert als in seinem Heimatland. Fluchtvorbereitungen seien zwar nicht belegt. Der Beschwerdeführer habe aber selbst mit einer deutlich geringeren als der erstinstanzlich ausgesprochenen Strafe gerechnet. Dagegen wendet der Beschwerdeführer hauptsächlich ein, er habe bereits zweimal in Kenntnis der Anklageschrift eine Heimatreise antreten können, sei beide Male wieder zurückgekehrt und habe an der erstinstanzlichen Hauptverhandlung teilgenommen. Auch wenn er selbst eine tiefere Strafe beantragt habe, sei er sich dabei des Risikos durchaus bewusst gewesen, dass gegen ihn eine langjährige Freiheitsstrafe und eine Landesverweisung ausgesprochen werden könnten.</w:t>
      </w:r>
    </w:p>
    <w:p>
      <w:r>
        <w:rPr>
          <w:b/>
        </w:rPr>
        <w:t>E. 3.2</w:t>
      </w:r>
    </w:p>
    <w:p>
      <w:r>
        <w:t>Im erstinstanzlichen Strafurteil wurde gegen den Beschwerdeführer eine Freiheitsstrafe von 6.5 Jahren verbunden mit einer Landesverweisung ausgesprochen. Damit muss er mit einer erheblichen Bestrafung rechnen. Ob die ihm drohende Landesverweisung insofern ergänzend eine wesentliche Rolle spielt, wie das Obergericht angenommen hat und was der Beschwerdeführer bestreitet, kann hier offenbleiben. Denn er muss nunmehr jedenfalls von der Möglichkeit ausgehen, lange Zeit im Strafvollzug zu verbringen. Zwar hatte er bereits seit der Anklageschrift der Staatsanwaltschaft vom 2. März 2021 Kenntnis von deren Antrag einer siebenjährigen Freiheitsstrafe verbunden mit einer Landesverweisung. Dieser Antrag beruhte im Wesentlichen auf der Annahme einer eventualvorsätzlichen Tötung von drei Menschen. Der Beschwerdeführer konnte aber hoffen, dass seine Straftat als Fahrlässigkeitsdelikt beurteilt würde. Das Strafgericht ist insofern jedoch im Wesentlichen der Einschätzung der Staatsanwaltschaft gefolgt. Wohl besteht beim Beschwerdeführer die Hoffnung auf eine andere Beurteilung mit Blick auf die erhobene Berufung weiter. Er muss heute jedoch konkret mit der Möglichkeit rechnen, dass das erstinstanzliche Strafurteil im Berufungsverfahren bestätigt wird. Die Ausgangslage hat sich dadurch massgeblich geändert, und der Fluchtanreiz hat mit dem Strafurteil erheblich zugenommen.</w:t>
      </w:r>
    </w:p>
    <w:p>
      <w:r>
        <w:rPr>
          <w:b/>
        </w:rPr>
        <w:t>E. 3.3</w:t>
      </w:r>
    </w:p>
    <w:p>
      <w:r>
        <w:t>In persönlicher Hinsicht ergibt sich, dass der Beschwerdeführer seit rund 22 Jahren in der Schweiz lebt. Inzwischen ist er allerdings gemäss den unbestritten gebliebenen Feststellungen des Obergerichts "offenbar ohne Arbeit und Einkommen". Nachdem inzwischen der Anspruch des Beschwerdeführers auf Versicherungsleistungen, deren Bezug die Anwesenheit in der Schweiz voraussetzte, weggefallen ist, wurde ein wesentlicher Grund, in der Schweiz zu bleiben, obsolet. Weiter verfügt der Beschwerdeführer nicht über vertiefte Kenntnisse der deutschen Sprache und ist auch insoweit nicht besonders integriert. Seine Ehe ist gescheitert und das gemeinsame Haus wurde liquidiert. Mit seinem Sohn hat er keinen Kontakt mehr. Ein solcher scheint einzig noch zu seiner Tochter zu bestehen, mit der er bis vor kurzem zusammenwohnte. Seine Eltern leben in seiner Heimat. Das Obergericht hat zwar festgestellt, dass der Beschwerdeführer auch in seinem Herkunftsland vor dem Nichts stünde und dort ebenfalls ganz neu beginnen müsste, sich ein geeignetes Leben aufzubauen. Die Verhältnisse vor Ort sind ihm aber bekannt, und die beiden Heimatreisen im Jahre 2021 belegen, dass er weiterhin eine Beziehung zu seinem Herkunftsland unterhält.</w:t>
      </w:r>
    </w:p>
    <w:p>
      <w:r>
        <w:rPr>
          <w:b/>
        </w:rPr>
        <w:t>E. 3.4</w:t>
      </w:r>
    </w:p>
    <w:p>
      <w:r>
        <w:t>Zu Gunsten des Beschwerdeführers zu würdigen ist, dass er bereits zweimal nach ihm von der Verfahrensleitung bewilligten Heimatreisen in die Schweiz zurückgekehrt ist und sich jeweils an die Anordnung des Bezirksgerichts gehalten hat, die ihm ausgehändigten Ausweispapiere nach Gebrauch wieder zu hinterlegen. Damit hat er konkret den Nachweis erbracht, einem niederschwelligen Fluchtanreiz widerstehen zu können. Die Ausgangslage hat sich inzwischen allerdings, wie bereits dargelegt, durch das erstinstanzliche Strafurteil erheblich geändert. Während damals noch unklar war, ob der Standpunkt der Staatsanwaltschaft vor Gericht standhalten würde und deshalb das Risiko einer langen Freiheitsstrafe noch recht theoretisch erschien, muss der Beschwerdeführer nunmehr konkret damit rechnen, zu einer langen Freiheitsstrafe verurteilt zu werden. Überdies sind seine Versicherungsansprüche weggefallen. Der erbrachte Tatbeweis, mit einem geringen Fluchtanreiz umgehen zu können, vermag daher das deutlich vergrösserte Fluchtrisiko nicht aufzuwiegen. Insgesamt ist damit von einer ausgeprägten Fluchtgefahr auszugehen, was die verfügte Sicherheitshaft grundsätzlich zu rechtfertigen vermag.</w:t>
      </w:r>
    </w:p>
    <w:p>
      <w:r>
        <w:rPr>
          <w:b/>
        </w:rPr>
        <w:t>E. 3.5</w:t>
      </w:r>
    </w:p>
    <w:p>
      <w:r>
        <w:t>Unter dem Gesichtspunkt der Verhältnismässigkeit ergibt sich in zeitlicher Hinsicht, dass sich der Beschwerdeführer bisher zweimal mit einer gesamten Dauer von knapp zwei Monaten in strafprozessualer Haft befand, erstmalig vom 27. November bis zum 6. Dezember 2019 unmittelbar nach der Tat in Untersuchungshaft und nunmehr seit dem am 1. Dezember 2021 ergangenen Strafurteil in Sicherheitshaft. Damit droht selbst dann keine Überhaft, wenn vom Standpunkt des Beschwerdeführers, es handle sich bei seiner Tat um ein Fahrlässigkeitsdelikt, ausgegangen würde. Zudem dauerte der strafprozessuale Freiheitsentzug so oder so insgesamt noch nicht besonders lange. Angesichts des ausgeprägten Fluchtrisikos erweist sich sodann die Möglichkeit der Anordnung von Ersatzmassnahmen als erheblich eingeschränkt (vgl. vorne E. 2.3). Es besteht im vorliegenden Fall kein Anlass, von dieser Regel abzuweichen. Dass sich der Beschwerdeführer bisher an die behördlichen Anordnungen und Auflagen gehalten hat, vermag, wie bereits dargelegt, aufgrund der geänderten Verhältnisse die Fluchtgefahr nicht aufzuwiegen. Damit kann offenbleiben, welche möglichen Vorkehren sich konkret als tauglich beurteilen liessen und überhaupt in Frage kämen.</w:t>
      </w:r>
    </w:p>
    <w:p>
      <w:r>
        <w:rPr>
          <w:b/>
        </w:rPr>
        <w:t>E. 3.6</w:t>
      </w:r>
    </w:p>
    <w:p>
      <w:r>
        <w:t>Die verfügte Sicherheitshaft verstösst mithin nicht gegen Bundesrecht.</w:t>
      </w:r>
    </w:p>
    <w:p>
      <w:r>
        <w:rPr>
          <w:b/>
        </w:rPr>
        <w:t>E. 4</w:t>
      </w:r>
    </w:p>
    <w:p>
      <w:r>
        <w:t>Die Beschwerde ist abzuweisen.</w:t>
      </w:r>
    </w:p>
    <w:p>
      <w:r>
        <w:t>Dem unterliegenden bedürftigen Beschwerdeführer, dessen Rechtsbegehren nicht als von vornherein aussichtslos erscheinen, ist antragsgemäss die unentgeltliche Rechtspflege und Verbeiständung zu gewähren (vgl. Art. 64 BGG ). Damit sind keine Kosten zu erheben, und der Anwalt des Beschwerdeführers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