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1B_3/2019 vom 17. Januar 2019</w:t>
      </w:r>
    </w:p>
    <w:p>
      <w:r>
        <w:t>Bundesgericht, 2019-01-17, FR</w:t>
      </w:r>
    </w:p>
    <w:p>
      <w:r>
        <w:rPr>
          <w:b/>
        </w:rPr>
        <w:t xml:space="preserve">Quelle: </w:t>
      </w:r>
      <w:r>
        <w:t>https://mcp.opencaselaw.ch/entscheid/bger_1B_3_2019</w:t>
      </w:r>
    </w:p>
    <w:p>
      <w:r>
        <w:t>FR: TF 1B_3/2019 du 17 janvier 2019</w:t>
      </w:r>
    </w:p>
    <w:p>
      <w:r>
        <w:t>IT: TF 1B_3/2019 del 17 gennaio 2019</w:t>
      </w:r>
    </w:p>
    <w:p>
      <w:pPr>
        <w:pStyle w:val="Heading2"/>
      </w:pPr>
      <w:r>
        <w:t>Erwägungen</w:t>
      </w:r>
    </w:p>
    <w:p>
      <w:r>
        <w:rPr>
          <w:b/>
        </w:rPr>
        <w:t>E. 1</w:t>
      </w:r>
    </w:p>
    <w:p>
      <w:r>
        <w:t>Le recours en matière pénale est immédiatement ouvert contre une décision relative à la détention provisoire au sens des art. 212 ss CPP nonobstant son caractère incident ( ATF 137 IV 22 consid. 1 p. 23). Le recours a été formé en temps utile ( art. 100 al. 1 LTF ) contre une décision rendue en dernière instance cantonale ( art. 80 LTF ). La conclusion tendant à la remise en liberté immédiate est recevable au regard de l' art. 107 al. 2 LTF . Même si un nouveau titre de détention s'est substitué à la décision attaquée, le recourant dispose toujours d'un intérêt actuel et pratique, au sens de l'art. 81 al. 1 let. a et let. b ch. 1 LTF, à la vérification des conditions ayant conduit à son maintien en détention.</w:t>
      </w:r>
    </w:p>
    <w:p>
      <w:r>
        <w:t>Il y a donc lieu d'entrer en matière.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 art. 221 al. 1 CPP ), condition qui n'est pas remise en cause en l'espèce.</w:t>
      </w:r>
    </w:p>
    <w:p>
      <w:r>
        <w:rPr>
          <w:b/>
        </w:rPr>
        <w:t>E. 3</w:t>
      </w:r>
    </w:p>
    <w:p>
      <w:r>
        <w:t>Le recourant conteste en revanche l'existence d'un risque de récidive au motif qu'il n'aurait commis aucun délit grave qui aurait compromis sérieusement la sécurité d'autrui.</w:t>
      </w:r>
    </w:p>
    <w:p>
      <w:r>
        <w:rPr>
          <w:b/>
        </w:rPr>
        <w:t>E. 3.1</w:t>
      </w:r>
    </w:p>
    <w:p>
      <w:r>
        <w:t>En vertu de l' art. 221 al. 1 let .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Le risque de récidive peut également se fonder sur les infractions faisant l'objet de la procédure pénale en cours, si le prévenu est fortement soupçonné - avec une probabilité confinant à la certitude - de les avoir commises ( ATF 143 IV 9 consid. 2.3.1 p. 12).</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 ATF 143 IV 9 consid. 2.7 p. 15).</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3.2 p. 13; 137 IV 84 consid. 32 p. 86; arrêt 1B_455/2016 du 9 décembre 2016 consid. 3.1).</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3.2</w:t>
      </w:r>
    </w:p>
    <w:p>
      <w:r>
        <w:t>Le recourant est mis en cause pour avoir commis de multiples infractions à la loi fédérale sur la circulation routière entre l'été 2017 et l'automne 2018. Il a circulé à de nombreuses reprises alors qu'il n'est titulaire d'aucun permis de conduire, seul ou accompagné d'un ou de plusieurs passagers. Il aurait commis deux excès de vitesse l'un au guidon d'un motocycle, l'autre au volant d'un véhicule automobile. Il a également perdu la maîtrise de son véhicule à trois reprises à la suite d'une manoeuvre inadaptée, respectivement en raison d'une vitesse inadaptée aux conditions de la route et, à deux reprises, alors qu'un ou plusieurs passagers avaient pris place dans son véhicule. Ces pertes de maîtrise pouvaient être qualifiées de graves au sens où l'entend l' art. 221 al. 1 let . c CPP et ont mis concrètement en danger non seulement les passagers du véhicule, mais également de manière abstraite les autres usagers de la route, comme l'a retenu la Chambre des recours pénale. Ni la précédente condamnation prononcée le 12 janvier 2018 pour conduite sans permis et infraction à la loi fédérale sur la circulation routière ni l'avertissement d'une possible détention en cas de récidive émis lors de l'audience du 14 février 2018 n'ont dissuadé le recourant de commettre de nouvelles infractions. Le recourant a par ailleurs donné une claque à un mineur en réponse à ce qu'il ressentait comme une provocation quelques jours après avoir eu maille à partir avec le même individu. Aux dires de celui-ci, il aurait sorti un couteau et l'aurait brandi dans sa direction parce qu'il était dérangé par le bruit de son téléphone portable. Si le recourant conteste avoir menacé, toujours est-il que ce comportement a été ressenti comme tel par l'intéressé qui a déposé plainte en ce sens. Le recourant a également tiré plusieurs fois à l'aide d'une carabine à plomb sur un portakabin et sur un hangar agricole, occasionnant des dégâts matériels. La Chambre pénale de recours pouvait admettre que ces comportements, sans être graves, dénotaient une dangerosité particulière ou un potentiel de violence de la part du recourant au sens de la jurisprudence rendue en application de l' art. 221 al. 1 let . c CPP. Fondée sur l'ensemble de ces circonstances, elle n'a pas violé le droit fédéral en retenant l'existence d'un risque concret et important de récidive d'infractions graves aux règles de la circulation routière voire contre l'intégrité physique (cf. arrêt 1B_232/2014 du 14 juillet 2014 consid. 3.2 qui concernait un cas similaire).</w:t>
      </w:r>
    </w:p>
    <w:p>
      <w:r>
        <w:t>Au vu des nombreuses infractions reprochées au recourant et de la récidive commise en cours d'enquête et malgré une condamnation pour des faits similaires, une remise en liberté immédiate sans autre mesure d'accompagnement n'entre en l'état pas en considération. Le suivi psychothérapeutique auprès de la psychologue Camille Imesch, auquel le recourant a déclaré vouloir se soumettre et qui pourrait être mis en place sans attendre, va certes dans le bon sens. Toutefois, il ne constitue manifestement pas en soi une garantie suffisante que le recourant ne commettra pas de nouvelles infractions aux règles de la sécurité routière au vu notamment du fait qu'il a récidivé en cours d'enquête malgré une précédente condamnation et la menace d'un placement en détention provisoire en cas de nouvelles infractions. Le recourant a également entrepris des démarches en vue de son admission dans le Foyer de la fondation Le Relais, à Morges; un tel placement, combiné au suivi psychothérapeutique proposé, pourrait certes constituer une mesure propre à pallier le risque de récidive (arrêt 1B_654/2011 du 7 décembre 2011 consid. 4.2 in Plaidoyer 2/2012 p. 51). Ces démarches n'ont toutefois, en l'état du dossier, pas pu se concrétiser faute d'une place disponible au sein de cet établissement avant le début de l'année 2019. Cela étant, le refus d'ordonner la mise en liberté provisoire immédiate du recourant sous traitement psychologique jusqu'à son placement en foyer est en l'état conforme à l' art. 221 CPP . Il appartiendra néanmoins au Ministère public de faire diligence pour mettre rapidement en oeuvre les mesures proposées qui paraissent, en l'état, aptes à réduire le risque de récidive.</w:t>
      </w:r>
    </w:p>
    <w:p>
      <w:r>
        <w:rPr>
          <w:b/>
        </w:rPr>
        <w:t>E. 4</w:t>
      </w:r>
    </w:p>
    <w:p>
      <w:r>
        <w:t>Sur le vu de ce qui précède, le recours doit être rejeté. Le recourant a requis l'assistance judiciaire et les conditions en paraissent réunies. Me Kathrin Gruber est désignée comme avocate d'office, rétribuée par la caisse du Tribunal fédéral, et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