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1B_3/2015 vom 27. Januar 2015</w:t>
      </w:r>
    </w:p>
    <w:p>
      <w:r>
        <w:t>Bundesgericht, 2015-01-27, DE</w:t>
      </w:r>
    </w:p>
    <w:p>
      <w:r>
        <w:rPr>
          <w:b/>
        </w:rPr>
        <w:t xml:space="preserve">Quelle: </w:t>
      </w:r>
      <w:r>
        <w:t>https://mcp.opencaselaw.ch/entscheid/bger_1B_3_2015</w:t>
      </w:r>
    </w:p>
    <w:p>
      <w:r>
        <w:t>FR: TF 1B_3/2015 du 27 janvier 2015</w:t>
      </w:r>
    </w:p>
    <w:p>
      <w:r>
        <w:t>IT: TF 1B_3/2015 del 27 gennaio 2015</w:t>
      </w:r>
    </w:p>
    <w:p>
      <w:pPr>
        <w:pStyle w:val="Heading2"/>
      </w:pPr>
      <w:r>
        <w:t>Erwägungen</w:t>
      </w:r>
    </w:p>
    <w:p>
      <w:r>
        <w:rPr>
          <w:b/>
        </w:rPr>
        <w:t>E. 1</w:t>
      </w:r>
    </w:p>
    <w:p>
      <w:r>
        <w:t>Angefochten ist ein letztinstanzlicher kantonaler Entscheid in einer Strafsache,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Der neue Haftverlängerungsentscheid vom 20. Januar 2015 lässt sein Rechtsschutzinteresse nicht dahinfallen, beruht dieser doch auf den gleichen tatsächlichen und rechtlichen Grundlagen wie der angefochtene Entscheid. Mit Blick auf das Beschleunigungsgebot ( Art. 5 Abs. 2 StPO , Art. 31 Abs. 4 BV , Art. 5 Ziff. 4 EMRK ) und aus Gründen der Prozessökonomie ist die Sache deshalb nicht gegenstandslos ( BGE 139 I 206 E. 1.2 S. 208 ff.; 137 IV 177 E. 2.2 S. 179 f.; Urteil 1B_393/2012 vom 24. Juli 2012 E. 1). Der Beschwerdeführer ist nach Art. 81 Abs. 1 BGG zur Beschwerde berechtigt. Das Bundesgericht kann nach Art. 107 Abs. 2 BGG bei Gutheissung der Beschwerde in der Sache selbst entscheiden. Der Antrag auf Haftentlassung ist somit zulässig. Die übrigen Sachurteilsvoraussetzungen sind ebenfalls erfüllt, weshalb auf die Beschwerde eingetreten werden kann.</w:t>
      </w:r>
    </w:p>
    <w:p>
      <w:r>
        <w:rPr>
          <w:b/>
        </w:rPr>
        <w:t>E. 2.1</w:t>
      </w:r>
    </w:p>
    <w:p>
      <w:r>
        <w:t>Untersuchungshaft kann unter anderem angeordnet werden, wenn der dringende Tatverdacht in Bezug auf ein Verbrechen oder Vergehen sowie Wiederholungsgefahr besteht ( Art. 221 Abs. 1 StPO ).</w:t>
      </w:r>
    </w:p>
    <w:p>
      <w:r>
        <w:rPr>
          <w:b/>
        </w:rPr>
        <w:t>E. 2.2</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Drohende Verbrechen oder schwere Vergehen genügen (entgegen dem deutschen und dem italienischen Gesetzestext) für die Annahme von Wiederholungsgefahr ( BGE 137 IV 84 E. 3.2 S. 85 f.).</w:t>
      </w:r>
    </w:p>
    <w:p>
      <w:r>
        <w:rPr>
          <w:b/>
        </w:rPr>
        <w:t>E. 2.3</w:t>
      </w:r>
    </w:p>
    <w:p>
      <w:r>
        <w:t>Die Wahrung des Interesses an der Verhütung weiterer schwerwiegender Delikte ist verfassungs- und grundrechtskonform. Art. 5 Ziff. 1 lit. c EMRK anerkennt ausdrücklich die Notwendigkeit, Beschuldigte an der Begehung strafbarer Handlungen zu hindern, somit Spezialprävention als Haftgrund ( BGE 137 IV 84 E. 3.2 S. 85 ; 135 I 71 E. 2.2 S. 72 mit Hinweisen). Nach der Rechtsprechung kann die Anordnung bzw. Fortsetzung von strafprozessualer Haft wegen Wiederholungsgefahr dem Verfahrensziel der Beschleunigung dienen, indem verhindert wird, dass sich der Strafprozess durch immer neue Delikte kompliziert und in die Länge zieht ( BGE 137 IV 84 E. 3.2 S. 85 ; 135 I 71 E. 2.2 S. 72).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w:t>
      </w:r>
    </w:p>
    <w:p>
      <w:r>
        <w:rPr>
          <w:b/>
        </w:rPr>
        <w:t>E. 2.4</w:t>
      </w:r>
    </w:p>
    <w:p>
      <w:r>
        <w:t>Die Aufrechterhaltung von strafprozessualer Haft wegen Wiederholungsgefahr ist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3.1</w:t>
      </w:r>
    </w:p>
    <w:p>
      <w:r>
        <w:t>Die Untersuchungshaft wurde aufgrund eines Vorfalls am 14. September 2014 angeordnet. Nach den Darlegungen der Vorinstanz wollte der Beschwerdeführer bei einem Kollegen seinen als Sicherheit für eine Geldschuld hinterlegten Reisepass abholen. Mit einer Sturmhaube bekleidet habe er den Wohnblock betreten und im Gang eine Ladebewegung mit einer Soft-Air-Pistole gemacht. In der anderen Hand habe er einen Pfefferspray gehalten. Er habe Einlass in die Wohnung des Kollegen verlangt, was ihm aber verweigert worden sei. Darauf habe der Beschwerdeführer das Gebäude "unverrichteter Dinge" verlassen. Etwas später habe er seiner ehemaligen Freundin, die während des Zwischenfalls in der Wohnung des Kollegen anwesend gewesen sei, auf ihr Mobiltelefon angerufen und ihr gedroht, er werde sie und ihre Familie "auslöschen".</w:t>
      </w:r>
    </w:p>
    <w:p>
      <w:r>
        <w:t>Des Weiteren verweist die Vorinstanz auf die Ereignisse des 20. November 2013. Der Kollege des Beschwerdeführers habe damals die Polizei um Unterstützung gebeten. In Anwesenheit zweier Polizisten habe der Beschwerdeführer unvermittelt einen Schrank geöffnet, aus diesem eine Handgranate genommen und den Sicherungssplint gezogen. Die Polizisten seien erschrocken und hätten Todesangst gehabt. Sie hätten jedoch den Sicherungssplint wieder einsetzen und die Handgranate sichern können. Die spätere Überprüfung der Handgranate habe ergeben, dass es sich um eine Imitation gehandelt habe, was aber von Auge nicht erkennbar gewesen sei. Auch habe der Beschwerdeführer die "Handgranate" zuvor mit Wasser gefüllt und im Tiefkühlschrank gelagert, wodurch sie sich echt angefühlt habe. Durch diesen Zwischenfall habe der Beschwerdeführer vorübergehend die Sicherung eines Soft-Air-Gewehres - es habe sich dabei um eine Nachbildung eines Maschinengewehres "Kalaschnikow AK 47" gehandelt - verhindern können.</w:t>
      </w:r>
    </w:p>
    <w:p>
      <w:r>
        <w:rPr>
          <w:b/>
        </w:rPr>
        <w:t>E. 3.2</w:t>
      </w:r>
    </w:p>
    <w:p>
      <w:r>
        <w:t>Gestützt auf den jüngsten Vorfall vom 14. September 2014 bejaht die Vorinstanz zu Recht den dringenden Tatverdacht. Der Beschwerdeführer bestreitet diesen auch nicht substanziiert. Der allgemeine Haftgrund ist somit gegeben.</w:t>
      </w:r>
    </w:p>
    <w:p>
      <w:r>
        <w:rPr>
          <w:b/>
        </w:rPr>
        <w:t>E. 3.3</w:t>
      </w:r>
    </w:p>
    <w:p>
      <w:r>
        <w:t>Der Beschwerdeführer ist einschlägig vorbestraft.</w:t>
      </w:r>
    </w:p>
    <w:p>
      <w:r>
        <w:t>Am 4. Januar 2012 bedrohte er Polizisten mit dem Tod und versuchte mehrmals, diese tätlich anzugreifen. Deshalb bestrafte ihn die Jugendanwaltschaft St. Gallen am 2. April 2012 unter anderem wegen Gewalt und Drohung gegen Behörden und Beamte sowie der mehrfachen Widerhandlung gegen das Waffengesetz zu einer Freiheitsstrafe von einem Monat bedingt (mit einer Probezeit von eineinhalb Jahren). Die beschlagnahmten Waffen, zwei selbst gebastelte Schlagstöcke und zwei Soft-Air-Waffen, zog sie ein.</w:t>
      </w:r>
    </w:p>
    <w:p>
      <w:r>
        <w:t>Am 12. Februar 2013 bedrohte der Beschwerdeführer seine Mutter aus kurzer Entfernung mit einem Messer. Gegen die herbeigerufenen Polizisten schwenkte er ein Beil, das er erst nach mehrfachen Aufforderungen zur Seite legte. Danach versuchte er wiederholt, die Beamten tätlich anzugreifen. Am 21. Mai 2013 verurteilte ihn die Jugendanwaltschaft St. Gallen wegen Drohung sowie Gewalt und Drohung gegen Behörden und Beamte zu einer persönlichen Leistung von 20 Tagen. Der Vollzug wurde aufgeschoben (mit einer Probezeit von zwei Jahren und unter Anordnung einer Bewährungsbegleitung). Die Jugendanwaltschaft sah vom Vollzug der mit Strafbefehl vom 2. April 2012 bedingt ausgesprochenen Freiheitsstrafe ab und verwarnte den Beschwerdeführer. Sie verlängerte die Probezeit um zwei Jahre und zog zwei Soft-Air-Waffen ein.</w:t>
      </w:r>
    </w:p>
    <w:p>
      <w:r>
        <w:rPr>
          <w:b/>
        </w:rPr>
        <w:t>E. 3.4.1</w:t>
      </w:r>
    </w:p>
    <w:p>
      <w:r>
        <w:t>Der Beschwerdeführer bringt vor, die Befürchtung, dass er durch weitere Verbrechen oder schwere Vergehen die Sicherheit anderer erheblich gefährden werde, sei rein theoretischer und hypothetischer Natur. Beim Vorfall mit der "Handgranate" vom 20. November 2013 seien die Polizisten zu keiner Zeit ernsthaft gefährdet gewesen. Auch anlässlich des Zwischenfalls vom 14. September 2014 habe er mit seiner (Spielzeug-) Pistole niemanden gefährdet. Er habe lediglich den "starken Mann" spielen wollen.</w:t>
      </w:r>
    </w:p>
    <w:p>
      <w:r>
        <w:rPr>
          <w:b/>
        </w:rPr>
        <w:t>E. 3.4.2</w:t>
      </w:r>
    </w:p>
    <w:p>
      <w:r>
        <w:t>Das psychiatrische Gutachten vom 15. Oktober 2014 diagnostiziert beim Beschwerdeführer eine deutlich ausgeprägte kombinierte Persönlichkeitsstörung mit dissozialen und emotional instabilen Zügen vom Borderline-Typ. Weitere ungünstige Faktoren seien die Alkoholabhängigkeit, der schädliche Gebrauch von anabolen Steroiden sowie von Psychosimulantien und Kokain, deliktfördernde Ansichten und Weltanschauungen, die erhebliche Beeinträchtigung der beruflichen und sozialen Leistungsfähigkeit, die gestörte Wahrnehmung der sozialen Realität mit unrealistischen Erwartungshaltungen sowie die soziale Desintegration.</w:t>
      </w:r>
    </w:p>
    <w:p>
      <w:r>
        <w:t>Die Gutachterin schätzt das Risiko für weitere Drohungen und Verstösse gegen das Waffengesetz als hoch ein. Zwar habe der Beschwerdeführer bislang Gewalt nur angedroht. Die Wahrscheinlichkeit, dass er seinen Worten auch einmal Taten folgen lassen könnte, sei gegenüber der Normalbevölkerung jedoch deutlich erhöht. Sein niederschwelliger Umgang mit Waffen sei als besonders ungünstig zu werten. Die Gutachterin führt aus, falls die Drohungen des Beschwerdeführers nicht ernst genommen würden, könnte dies bei ihm das Bedürfnis steigern, den Drohungen durch Umsetzung Nachdruck zu verleihen. Namentlich die immer wieder geäusserten Tötungsphantasien, die Beschriftung scharfer Patronen mit Namen unliebsamer Personen oder die Androhung eines "zweiten Falls Breivik" belegten die Bereitschaft des Beschwerdeführers, der sich selber als "Neo-Nazi" bezeichne, feindselige Gefühle zu entwickeln. Eine Umsetzung der Worte in Taten sei zu befürchten, wenn der Beschwerdeführer emotional aufgeladen und durch Alkohol und Drogen enthemmt sei. Ungünstig sei zudem, dass nur eine vordergründige Therapiebereitschaft bestehe. In eine Therapie wolle der Beschwerdeführer nur einwilligen, wenn sie ihn nicht oder nur wenig einschränke. Eine ambulante Therapie sei klar ungenügend.</w:t>
      </w:r>
    </w:p>
    <w:p>
      <w:r>
        <w:t>Sodann weist die Gutachterin darauf hin, es sei damit zu rechnen, dass sich das soziale Scheitern des Beschwerdeführers in Zukunft fortlaufend wiederholen könne. Dann bestehe auch die Gefahr einer "finalen Bankrotterklärung". Im Falle einer perspektivlos-suizidalen Entwicklung können letztlich auch erweiterte Suizidhandlungen nicht ausgeschlossen werden.</w:t>
      </w:r>
    </w:p>
    <w:p>
      <w:r>
        <w:rPr>
          <w:b/>
        </w:rPr>
        <w:t>E. 3.4.3</w:t>
      </w:r>
    </w:p>
    <w:p>
      <w:r>
        <w:t>Im Lichte dieser gutachterlichen Ausführungen ist die vorinstanzliche Beurteilung, wonach der Beschwerdeführer in Freiheit andere Menschen auch zukünftig erheblich gefährden könnte, nicht zu beanstanden. Mit der Wiederholung schwerer Drohungen ist ernsthaft zu rechnen. Damit verletzt es kein Bundesrecht, wenn die Vorinstanz den Haftgrund der Wiederholungsgefahr gemäss Art. 221 Abs. 1 lit. c StPO bejaht hat (vgl. Urteil 1B_52/2014 vom 21. Februar 2014 E. 3.3). Nach der zutreffenden Auffassung der Vorinstanz kann damit offen bleiben, ob überdies - wofür erhebliche Anhaltspunkte bestehen - Ausführungsgefahr ( Art. 221 Abs. 2 StPO ) gegeben sei.</w:t>
      </w:r>
    </w:p>
    <w:p>
      <w:r>
        <w:rPr>
          <w:b/>
        </w:rPr>
        <w:t>E. 3.5.1</w:t>
      </w:r>
    </w:p>
    <w:p>
      <w:r>
        <w:t>Der Beschwerdeführer rügt, die Dauer der Untersuchungshaft sei unverhältnismässig.</w:t>
      </w:r>
    </w:p>
    <w:p>
      <w:r>
        <w:t>Gemäss Art. 212 Abs. 3 StPO darf die Untersuchungshaft nicht länger dauern als die zu erwartende Freiheitsstrafe. Der Beschwerdeführer befindet sich seit gut vier Monaten in Haft. Er ist einschlägig vorbestraft. Aufgrund der Schwere der ihm neu vorgeworfenen Taten muss er mit einer Freiheitsstrafe rechnen, welche die bisherige Haftdauer übersteigt. Die Haft ist daher noch verhältnismässig. Insbesondere in Anbetracht des noch jungen Alters des Beschwerdeführers werden die kantonalen Behörden das Verfahren jedoch zügig voranzutreiben und zum Abschluss zu bringen haben.</w:t>
      </w:r>
    </w:p>
    <w:p>
      <w:r>
        <w:rPr>
          <w:b/>
        </w:rPr>
        <w:t>E. 3.5.2</w:t>
      </w:r>
    </w:p>
    <w:p>
      <w:r>
        <w:t>Bundesrechtskonform ist auch die Ansicht der Vorinstanz, mit blossen Ersatzmassnahmen für Haft könne der dargelegten Wiederholungsgefahr nicht ausreichend begegnet werden. Der Beschwerdeführer ist zwar bereit, sich einer ambulanten Therapie zu unterziehen. Wie die Gutachterin ausführt, ist eine solche Massnahme - auch eine engmaschige - jedoch nicht geeignet, die gegenüber der Normalbevölkerung deutlich erhöhte Wahrscheinlichkeit einer Ausführung schwerer Drohungen zu verhindern.</w:t>
      </w:r>
    </w:p>
    <w:p>
      <w:r>
        <w:rPr>
          <w:b/>
        </w:rPr>
        <w:t>E. 4</w:t>
      </w:r>
    </w:p>
    <w:p>
      <w:r>
        <w:t>Die Beschwerde ist deshalb abzuweisen.</w:t>
      </w:r>
    </w:p>
    <w:p>
      <w:r>
        <w:t>Der unterliegende Beschwerdeführer ist bedürftig. Da die Untersuchungshaft einen schweren Eingriff in die persönliche Freiheit darstellt, konnte er sich zur Beschwerde veranlasst sehen. Die unentgeltliche Rechtspflege und Verbeiständung wird deshalb bewilligt ( Art. 64 BGG ). Damit sind keine Kosten zu erheben. Der Rechtsvertreter des Beschwerdeführers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