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1B_39/2023 vom 26. Januar 2023</w:t>
      </w:r>
    </w:p>
    <w:p>
      <w:r>
        <w:t>Bundesgericht, 2023-01-26, DE</w:t>
      </w:r>
    </w:p>
    <w:p>
      <w:r>
        <w:rPr>
          <w:b/>
        </w:rPr>
        <w:t xml:space="preserve">Quelle: </w:t>
      </w:r>
      <w:r>
        <w:t>https://mcp.opencaselaw.ch/entscheid/bger_1B_39_2023</w:t>
      </w:r>
    </w:p>
    <w:p>
      <w:r>
        <w:t>FR: TF 1B_39/2023 du 26 janvier 2023</w:t>
      </w:r>
    </w:p>
    <w:p>
      <w:r>
        <w:t>IT: TF 1B_39/2023 del 26 gennaio 2023</w:t>
      </w:r>
    </w:p>
    <w:p>
      <w:pPr>
        <w:pStyle w:val="Heading2"/>
      </w:pPr>
      <w:r>
        <w:t>Erwägungen</w:t>
      </w:r>
    </w:p>
    <w:p>
      <w:r>
        <w:rPr>
          <w:b/>
        </w:rPr>
        <w:t>E. 1</w:t>
      </w:r>
    </w:p>
    <w:p>
      <w:r>
        <w:t>Die Staatsanwaltschaft, Untersuchungsamt Gossau, führt ein Strafverfahren gegen B.________ und A.________. Am 3. Mai 2022 verhängte das Untersuchungsamt Gossau unter anderem eine Grundbuchsperre über das Grundstück Nr. 597 in Walde. Diese wurde A.________ anlässlich der polizeilichen Einvernahme vom 19. August 2022 eröffnet. Am 29. August 2022 erhob A.________ Beschwerde gegen die Grundbuchsperre. Die Anklagekammer des Kantons St. Gallen wies mit Entscheid vom 30. November 2022 die Beschwerde ab.</w:t>
      </w:r>
    </w:p>
    <w:p>
      <w:r>
        <w:rPr>
          <w:b/>
        </w:rPr>
        <w:t>E. 2</w:t>
      </w:r>
    </w:p>
    <w:p>
      <w:r>
        <w:t>A.________ führt mit Eingabe vom 20. Januar 2023 Beschwerde in Strafsachen. Das Bundesgericht verzichtet auf die Einholung von Vernehmlassungen.</w:t>
      </w:r>
    </w:p>
    <w:p>
      <w:r>
        <w:rPr>
          <w:b/>
        </w:rPr>
        <w:t>E. 3.1</w:t>
      </w:r>
    </w:p>
    <w:p>
      <w:r>
        <w:t>Das Bundesgericht prüft von Amtes wegen und mit freier Kognition, ob und inwieweit ein bei ihm eingereichtes Rechtsmittel zulässig ist (vgl. BGE 141 II 113 E. 1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Nach den Angaben der Beschwerdeführerin ist ihr bzw. ihrer Anwältin der angefochtene Entscheid am 5. Dezember 2022 zugestellt und damit eröffnet worden. Die Beschwerdefrist begann somit am 6. Dezember 2022 zu laufen und endete am 4. Januar 2023. Die am 20. Januar 2023 der Post übergebene Beschwerde ist daher nach Ablauf der 30-tägigen Beschwerdefrist aufgegeben worden.</w:t>
      </w:r>
    </w:p>
    <w:p>
      <w:r>
        <w:rPr>
          <w:b/>
        </w:rPr>
        <w:t>E. 3.4</w:t>
      </w:r>
    </w:p>
    <w:p>
      <w:r>
        <w:t>Die Beschwerdeführerin ist zwar der Auffassung, es gelte der Fristenstillstand gemäss Art. 46 Abs. 1 lit. c BGG , wonach gesetzlich oder richterlich nach Tagen bestimmte Fristen vom 18. Dezember bis und mit 2. Januar still stehen. Diese Vorschrift gilt indessen gemäss Art. 46 Abs. 2 BGG in Verfahren betreffend aufschiebende Wirkung und andere vorsorgliche Massnahmen nicht. Beschlagnahmen bzw. Grundbuchsperren sind vorsorgliche Massnahmen im Sinn dieser Bestimmung ( BGE 135 I 257 E. 1.5, 138 IV 186 E. 1.2), weshalb der Fristenstillstand nicht zur Anwendung kommt. Demzufolge ist die am 20. Januar 2023 der Post übergebene Beschwerde verspätet eingereicht worden.</w:t>
      </w:r>
    </w:p>
    <w:p>
      <w:r>
        <w:rPr>
          <w:b/>
        </w:rPr>
        <w:t>E. 4</w:t>
      </w:r>
    </w:p>
    <w:p>
      <w:r>
        <w:t>Auf die Beschwerde ist damit im vereinfachten Verfahren nach Art. 108 Abs. 1 BGG nicht einzutreten. Bei diesem Ausgang des Verfahrens trägt die Beschwerdeführerin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